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73EA">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福建中医药大学</w:t>
      </w:r>
      <w:r>
        <w:rPr>
          <w:rFonts w:hint="default" w:ascii="Times New Roman" w:hAnsi="Times New Roman" w:cs="Times New Roman"/>
          <w:b/>
          <w:color w:val="000000"/>
          <w:kern w:val="44"/>
          <w:sz w:val="44"/>
          <w:szCs w:val="44"/>
          <w:highlight w:val="none"/>
        </w:rPr>
        <w:t>自然科学纵向科研</w:t>
      </w:r>
      <w:r>
        <w:rPr>
          <w:rFonts w:hint="default" w:ascii="Times New Roman" w:hAnsi="Times New Roman" w:cs="Times New Roman"/>
          <w:b/>
          <w:color w:val="000000"/>
          <w:kern w:val="44"/>
          <w:sz w:val="44"/>
          <w:szCs w:val="44"/>
          <w:highlight w:val="none"/>
          <w:lang w:val="zh-CN"/>
        </w:rPr>
        <w:t>项目</w:t>
      </w:r>
    </w:p>
    <w:p w14:paraId="6198C7CE">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经费管理办法</w:t>
      </w:r>
    </w:p>
    <w:p w14:paraId="28EFCA44">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（修订）</w:t>
      </w:r>
    </w:p>
    <w:p w14:paraId="2E45B123">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_GB2312"/>
          <w:b/>
          <w:highlight w:val="none"/>
        </w:rPr>
      </w:pPr>
    </w:p>
    <w:p w14:paraId="4968CBE6">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第一章 总 则</w:t>
      </w:r>
    </w:p>
    <w:p w14:paraId="184711E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第一条 </w:t>
      </w:r>
      <w:r>
        <w:rPr>
          <w:rFonts w:hint="default" w:ascii="Times New Roman" w:hAnsi="Times New Roman" w:eastAsia="仿宋" w:cs="Times New Roman"/>
          <w:b w:val="0"/>
          <w:bCs/>
          <w:color w:val="000000"/>
          <w:highlight w:val="none"/>
        </w:rPr>
        <w:t>为促进学校科研工作，提高科研管理水平，推动科技体制改革，建立健全自然科学类纵向科研项目（简称自然科学类纵向项目）经费管理机制，进一步提高科研经费使用效率，持续深化拓展科研领域“放管服”工作，根据《国务院关于优化科研管理提升科研绩效若干措施的通知》（国发〔2018〕25号）、《国务院办公厅关于改革完善中央财政科研经费管理的若干意见》国办发〔2021〕32号、《国家重点研发计划资金管理办法》（财教〔2025〕2号）、《国家自然科学基金资助项目资金管理办法》（财教〔2021〕177号）、《</w:t>
      </w:r>
      <w:r>
        <w:rPr>
          <w:rFonts w:hint="default" w:ascii="Times New Roman" w:hAnsi="Times New Roman" w:eastAsia="仿宋" w:cs="Times New Roman"/>
          <w:b w:val="0"/>
          <w:bCs/>
          <w:color w:val="000000"/>
          <w:highlight w:val="none"/>
        </w:rPr>
        <w:t>关于进一步加强依托单位国家自然科学基金项目资金管理工作的若干意见》（国科金发财〔2026〕3号）、《</w:t>
      </w:r>
      <w:r>
        <w:rPr>
          <w:rFonts w:hint="default" w:ascii="Times New Roman" w:hAnsi="Times New Roman" w:eastAsia="仿宋" w:cs="Times New Roman"/>
          <w:b w:val="0"/>
          <w:bCs/>
          <w:color w:val="000000"/>
          <w:highlight w:val="none"/>
        </w:rPr>
        <w:t>财政部关于加强中央部门科研和基建项目结转结余资金管理有关事项的通知》（财预〔2026〕58号）和《福建省级科技计划项目经费管理办法》（闽科规〔2022〕8号）等文件精神及相关规定，结合学校科技计划项目经费管理的实际，特制订本办法。</w:t>
      </w:r>
    </w:p>
    <w:p w14:paraId="70A0483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第二条 </w:t>
      </w:r>
      <w:r>
        <w:rPr>
          <w:rFonts w:hint="default" w:ascii="Times New Roman" w:hAnsi="Times New Roman" w:eastAsia="仿宋" w:cs="Times New Roman"/>
          <w:color w:val="000000"/>
          <w:highlight w:val="none"/>
        </w:rPr>
        <w:t>本办法适用于我校承担各类政府计划和公益性行业自然科学类纵向项目经费及学校安排的各类自然科学类纵向项目经费。</w:t>
      </w:r>
    </w:p>
    <w:p w14:paraId="2794A58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（一）自然科学类纵向项目是指学校通过承担国家、地方各级政府部门和公益性行业的各类科研计划（含基金等）所取得的自然科学类项目（或课题）经费以及政府间国际科技合作项目经费。</w:t>
      </w:r>
    </w:p>
    <w:p w14:paraId="7A94E50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（二）国家、省（市）有关部门已发布自然科学类纵向项目专项经费管理办法的，按相关规定执行。</w:t>
      </w:r>
    </w:p>
    <w:p w14:paraId="1E37E44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第三条 </w:t>
      </w:r>
      <w:r>
        <w:rPr>
          <w:rFonts w:hint="default" w:ascii="Times New Roman" w:hAnsi="Times New Roman" w:eastAsia="仿宋" w:cs="Times New Roman"/>
          <w:color w:val="000000"/>
          <w:highlight w:val="none"/>
        </w:rPr>
        <w:t>自然科学类纵向项目经费管理的主要任务：贯彻执行国家有关法律法规、方针政策，按照财政部、教育部、科技部等部委有关规定，依法筹集、核算、拨付、使用科研经费，组织科研经费年度预算、会计核算、财务决算，实行科研项目经费专账管理，单独核算、专款专用，按科研立项计划和进度拨付、使用专项资金，严格控制成本，提高资金使用效率，增强服务意识，保证科研项目的顺利实施，促进科研成果的转化。</w:t>
      </w:r>
    </w:p>
    <w:p w14:paraId="297E2AD3">
      <w:pPr>
        <w:snapToGrid w:val="0"/>
        <w:spacing w:line="360" w:lineRule="auto"/>
        <w:ind w:firstLine="632" w:firstLineChars="200"/>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第四条</w:t>
      </w:r>
      <w:r>
        <w:rPr>
          <w:rFonts w:hint="default" w:ascii="Times New Roman" w:hAnsi="Times New Roman" w:eastAsia="仿宋" w:cs="Times New Roman"/>
          <w:color w:val="000000"/>
          <w:highlight w:val="none"/>
        </w:rPr>
        <w:t xml:space="preserve"> 学校自然科学类纵向项目经费管理实行学校统一领导、分级管理、责任到人，科研、财务、审计部门相互配合，项目管理、财务管理和审计监督各司其职、密切配合，履行职责和接受监督相互统一的体制</w:t>
      </w:r>
      <w:r>
        <w:rPr>
          <w:rFonts w:hint="default" w:ascii="Times New Roman" w:hAnsi="Times New Roman" w:eastAsia="仿宋" w:cs="Times New Roman"/>
          <w:color w:val="000000"/>
          <w:highlight w:val="none"/>
        </w:rPr>
        <w:t>。</w:t>
      </w:r>
    </w:p>
    <w:p w14:paraId="0BA5881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第五条 </w:t>
      </w:r>
      <w:r>
        <w:rPr>
          <w:rFonts w:hint="default" w:ascii="Times New Roman" w:hAnsi="Times New Roman" w:eastAsia="仿宋" w:cs="Times New Roman"/>
          <w:color w:val="000000"/>
          <w:highlight w:val="none"/>
        </w:rPr>
        <w:t>加强自然科学类纵向项目经费预算管理，科学合理编制项目预算，建立和完善成本核算制度，完善内部科研经费管理，健全科研经费申请、使用、结算的监督制约机制。加强对科研项目管理费、业务费支出的监管，明确开支范围和比例。</w:t>
      </w:r>
    </w:p>
    <w:p w14:paraId="0E2E4DE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学校为自然科学类纵向项目提供基本科研条件保障，包括实验场所、通用办公设备（如日常办公电脑、打印机等）、日常办公用品等，上述费用由学校保障，不得在项目直接费用中列支。学校确保项目申请时承诺的单位自筹资金及时足额到位。</w:t>
      </w:r>
    </w:p>
    <w:p w14:paraId="6570C1D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第六条 </w:t>
      </w:r>
      <w:r>
        <w:rPr>
          <w:rFonts w:hint="default" w:ascii="Times New Roman" w:hAnsi="Times New Roman" w:eastAsia="仿宋" w:cs="Times New Roman"/>
          <w:color w:val="000000"/>
          <w:highlight w:val="none"/>
        </w:rPr>
        <w:t>凡以学校名义取得的各类自然科学类纵向项目科研经费，不论其资金来源渠道，必须全部纳入学校财务统一管理、集中核算、专款专用，任何单位和个人无权截留、挪用。</w:t>
      </w:r>
    </w:p>
    <w:p w14:paraId="0F48D3B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第七条 </w:t>
      </w:r>
      <w:r>
        <w:rPr>
          <w:rFonts w:hint="default" w:ascii="Times New Roman" w:hAnsi="Times New Roman" w:eastAsia="仿宋" w:cs="Times New Roman"/>
          <w:color w:val="000000"/>
          <w:highlight w:val="none"/>
        </w:rPr>
        <w:t>科研合同是学校和项目委托方权利义务的法律约定。项目负责人应对合作（外协）业务的真实性、相关性负责，在签订科研合同前向科学技术处提交合作方相关资料，合作（外协）单位是公司、企业的，应提供收款单位法人营业执照、组织机构代码证、税务登记证、资质证书等相关资料；合作（外协）单位是高校、科研院所、社会团体等公益性组织的，应提供收款单位组织机构代码等相关资料。按照《福建中医药大学科技合同管理办法（修订）》（校科〔2025〕1号），执行学校科研合同的审查制度和授权签字制度，未经授权的单位和个人一律无权代表学校签署科研合同。学校授权科学技术处负责科研合同的签订、登记和管理。</w:t>
      </w:r>
    </w:p>
    <w:p w14:paraId="69ACB9F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第八条 </w:t>
      </w:r>
      <w:r>
        <w:rPr>
          <w:rFonts w:hint="default" w:ascii="Times New Roman" w:hAnsi="Times New Roman" w:eastAsia="仿宋" w:cs="Times New Roman"/>
          <w:color w:val="000000"/>
          <w:highlight w:val="none"/>
        </w:rPr>
        <w:t>凡使用自然科学类纵向项目科研经费购置的固定资产和无形资产均属于国有资产，除项目管理办法或项目合同另有规定外，均应纳入学校资产统一管理。</w:t>
      </w:r>
    </w:p>
    <w:p w14:paraId="4F5867E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第九条 </w:t>
      </w:r>
      <w:r>
        <w:rPr>
          <w:rFonts w:hint="default" w:ascii="Times New Roman" w:hAnsi="Times New Roman" w:eastAsia="仿宋" w:cs="Times New Roman"/>
          <w:color w:val="000000"/>
          <w:highlight w:val="none"/>
        </w:rPr>
        <w:t>加强对科研成果的管理和保护，除项目管理办法或项目合同另有规定外，科研成果的转化按照学校有关规定执行。</w:t>
      </w:r>
    </w:p>
    <w:p w14:paraId="29B7026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由科学技术处负责科研成果的申报、审核、推荐、登记备案等管理工作。负责科研成果的转让，组织实施成果价值评估，代表学校签订成果转让、专利许可实施等经济合同（协议）。</w:t>
      </w:r>
    </w:p>
    <w:p w14:paraId="48534267">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第二章 自然科学类纵向项目经费的管理职责</w:t>
      </w:r>
    </w:p>
    <w:p w14:paraId="63933EB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第十条 </w:t>
      </w:r>
      <w:r>
        <w:rPr>
          <w:rFonts w:hint="default" w:ascii="Times New Roman" w:hAnsi="Times New Roman" w:eastAsia="仿宋" w:cs="Times New Roman"/>
          <w:color w:val="000000"/>
          <w:highlight w:val="none"/>
        </w:rPr>
        <w:t>建立自然科学类纵向项目科研经费的分级管理机制，明确责任主体。科研、财务、人事、纪检监察、审计等业务管理部门及院（部、所等）（以下统称院（部））等单位和项目负责人应明确职责和权限，共同做好科研经费的管理工作。</w:t>
      </w:r>
    </w:p>
    <w:p w14:paraId="7D93BCB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强化学校法人责任。实行自然科学类纵向项目科研经费校长责任制，在校长的领导下，分管财务、科研工作的校领导对科研经费的管理和使用分工负责。完善学校内部控制制度，合理确定科研、财务等业务管理部门的职责和权限，确保经费使用权、管理权和监督权的有效行使。</w:t>
      </w:r>
    </w:p>
    <w:p w14:paraId="2AC257C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明确院级监管责任。院（部）负责人对本单位自然科学类纵向项目科研经费使用承担管理和监督责任。院（部）要根据实际需要，合理配置资源，为科研项目执行提供条件保障；要监督预算执行，督促科研项目执行进度，协同有关部门对项目经费的合理使用进行审核和管理，配合有关部门评价科研绩效。学校将把科研经费管理绩效纳入院（部）负责人的业绩考核范畴。</w:t>
      </w:r>
    </w:p>
    <w:p w14:paraId="71242C4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落实自然科学类纵向项目科研项目负责人直接责任。自然科学类纵向项目负责人是自然科学类纵向项目科研经费使用的直接责任人，对经费使用的合规性、真实性和有效性承担经济和法律责任。项目负责人应熟悉掌握国家关于科研经费管理的法律法规和财务规章制度，依法、据实编制科研项目预算和决算，按照批复预算和合同（任务书）使用经费，接受上级和学校相关部门的监督检查。</w:t>
      </w:r>
    </w:p>
    <w:p w14:paraId="2811E5A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第十一条 </w:t>
      </w:r>
      <w:r>
        <w:rPr>
          <w:rFonts w:hint="default" w:ascii="Times New Roman" w:hAnsi="Times New Roman" w:eastAsia="仿宋" w:cs="Times New Roman"/>
          <w:color w:val="000000"/>
          <w:highlight w:val="none"/>
        </w:rPr>
        <w:t>财务部门在自然科学类纵向项目科研经费管理中的主要职责：</w:t>
      </w:r>
    </w:p>
    <w:p w14:paraId="54CD918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（一）建立健全自然科学类纵向项目科研项目资金的财务管理制度。</w:t>
      </w:r>
    </w:p>
    <w:p w14:paraId="2E7DBD3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（二）管理自然科学类纵向项目资金收入与支出，核算科研项目研制成本，按资金预算和项目进度支付经费；合理控制各项费用支出，提高科研资金使用效益。</w:t>
      </w:r>
    </w:p>
    <w:p w14:paraId="6E0DF82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（三）参与编制自然科学类纵向项目概预算</w:t>
      </w:r>
      <w:r>
        <w:rPr>
          <w:rFonts w:hint="default" w:ascii="Times New Roman" w:hAnsi="Times New Roman" w:eastAsia="仿宋" w:cs="Times New Roman"/>
          <w:color w:val="000000"/>
          <w:highlight w:val="none"/>
          <w:lang w:eastAsia="zh-CN"/>
        </w:rPr>
        <w:t>、</w:t>
      </w:r>
      <w:r>
        <w:rPr>
          <w:rFonts w:hint="default" w:ascii="Times New Roman" w:hAnsi="Times New Roman" w:eastAsia="仿宋" w:cs="Times New Roman"/>
          <w:color w:val="000000"/>
          <w:highlight w:val="none"/>
        </w:rPr>
        <w:t>审核自然科学类纵向项目的经济合同。</w:t>
      </w:r>
    </w:p>
    <w:p w14:paraId="2EBCBD1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第十二条</w:t>
      </w:r>
      <w:r>
        <w:rPr>
          <w:rFonts w:hint="default" w:ascii="Times New Roman" w:hAnsi="Times New Roman" w:eastAsia="仿宋" w:cs="Times New Roman"/>
          <w:color w:val="000000"/>
          <w:highlight w:val="none"/>
        </w:rPr>
        <w:t xml:space="preserve"> 科研主管部门在自然科学类纵向项目经费管理中的主要职责：</w:t>
      </w:r>
    </w:p>
    <w:p w14:paraId="3CB2754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（一）指导和审核课题组编制自然科学类纵向项目经费预算。</w:t>
      </w:r>
    </w:p>
    <w:p w14:paraId="36D49F9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（二）协同财务主管部门加强对自然科学类纵向项目经费的统一核算和监督管理。</w:t>
      </w:r>
    </w:p>
    <w:p w14:paraId="044E2F3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（三）协助自然科学类纵向项目的结题和财务决算。</w:t>
      </w:r>
    </w:p>
    <w:p w14:paraId="1720C33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（四）建立健全自然科学类纵向项目管理制度，加强对自然科学类纵向项目经费使用的全过程管理。</w:t>
      </w:r>
    </w:p>
    <w:p w14:paraId="5503820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（五）科研管理部门负责对项目执行进行绩效审核。</w:t>
      </w:r>
    </w:p>
    <w:p w14:paraId="1174FA9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第十三条 </w:t>
      </w:r>
      <w:r>
        <w:rPr>
          <w:rFonts w:hint="default" w:ascii="Times New Roman" w:hAnsi="Times New Roman" w:eastAsia="仿宋" w:cs="Times New Roman"/>
          <w:color w:val="000000"/>
          <w:highlight w:val="none"/>
        </w:rPr>
        <w:t>人事主管部门在自然科学类纵向项目经费管理中的主要职责：</w:t>
      </w:r>
    </w:p>
    <w:p w14:paraId="00A6E81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负责根据国家有关规定和高校实际情况，在对科研工作进行绩效考核的基础上，结合科研人员实绩，遵循“公开、公平、公正”原则，协同科研主管部门实行绩效评估与管理。</w:t>
      </w:r>
    </w:p>
    <w:p w14:paraId="297477D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第十四条 </w:t>
      </w:r>
      <w:r>
        <w:rPr>
          <w:rFonts w:hint="default" w:ascii="Times New Roman" w:hAnsi="Times New Roman" w:eastAsia="仿宋" w:cs="Times New Roman"/>
          <w:color w:val="000000"/>
          <w:highlight w:val="none"/>
        </w:rPr>
        <w:t>院（部）在自然科学类纵向项目经费管理中的主要职责：</w:t>
      </w:r>
    </w:p>
    <w:p w14:paraId="7BCD450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负责领导和督促本单位科研工作的正常开展，合理归集本单位科研项目应负担的日常水、电、气、暖消耗和现有仪器设备及房屋有偿使用等科研项目的条件支撑费用，配合科学技术处对项目进行绩效考核，按照自然科学类纵向项目经费管理制度的相关规定，协同财务、科研主管部门行使自然科学类纵向项目经费的日常审核、管理职责。</w:t>
      </w:r>
    </w:p>
    <w:p w14:paraId="392610B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第十五条 </w:t>
      </w:r>
      <w:r>
        <w:rPr>
          <w:rFonts w:hint="default" w:ascii="Times New Roman" w:hAnsi="Times New Roman" w:eastAsia="仿宋" w:cs="Times New Roman"/>
          <w:b w:val="0"/>
          <w:bCs/>
          <w:color w:val="000000"/>
          <w:highlight w:val="none"/>
        </w:rPr>
        <w:t>审计部门协助配合自然科学类纵向项目经费主管部门等有关部门对项目经费使用情况进行审计，根据年度审计工作计划，商同校科学技术处、财务处等部门确定自然科学类纵向项目经费使用情况专项审计。</w:t>
      </w:r>
    </w:p>
    <w:p w14:paraId="37C3142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第十六条 </w:t>
      </w:r>
      <w:r>
        <w:rPr>
          <w:rFonts w:hint="default" w:ascii="Times New Roman" w:hAnsi="Times New Roman" w:eastAsia="仿宋" w:cs="Times New Roman"/>
          <w:color w:val="000000"/>
          <w:highlight w:val="none"/>
        </w:rPr>
        <w:t>项目（课题）组负责人在自然科学类纵向项目经费使用管理中的主要职责：</w:t>
      </w:r>
    </w:p>
    <w:p w14:paraId="644ACD8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（一）按照课题下达部门的要求，在科研和财务主管部门的指导下编制自然科学类纵向项目的经费预算。</w:t>
      </w:r>
    </w:p>
    <w:p w14:paraId="4A803F4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（二）根据项目实施的实际情况编制自然科学类纵向项目经费使用计划。</w:t>
      </w:r>
    </w:p>
    <w:p w14:paraId="33DEAFD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（三）负责按照相关自然科学类纵向项目经费管理规定使用自然科学类纵向项目经费。</w:t>
      </w:r>
    </w:p>
    <w:p w14:paraId="765EC8C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（四）向有关管理、监督部门报告自然科学类纵向项目经费使用情况。</w:t>
      </w:r>
    </w:p>
    <w:p w14:paraId="21275CE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（五）自然科学类纵向项目完成后应及时结题、结账并负责编报自然科学类纵向项目的财务决算报表。</w:t>
      </w:r>
    </w:p>
    <w:p w14:paraId="47C14F9B">
      <w:pPr>
        <w:snapToGrid w:val="0"/>
        <w:spacing w:line="360" w:lineRule="auto"/>
        <w:ind w:firstLine="0" w:firstLineChars="0"/>
        <w:jc w:val="center"/>
        <w:rPr>
          <w:rFonts w:hint="default" w:ascii="Times New Roman" w:hAnsi="Times New Roman" w:eastAsia="仿宋" w:cs="Times New Roman"/>
          <w:b/>
          <w:color w:val="000000"/>
          <w:highlight w:val="none"/>
          <w:lang w:eastAsia="zh-CN"/>
        </w:rPr>
      </w:pPr>
      <w:r>
        <w:rPr>
          <w:rFonts w:hint="default" w:ascii="Times New Roman" w:hAnsi="Times New Roman" w:eastAsia="黑体" w:cs="Times New Roman"/>
          <w:bCs/>
          <w:color w:val="000000"/>
          <w:highlight w:val="none"/>
        </w:rPr>
        <w:t>第三章 自然科学类纵向项目经费的预算管理</w:t>
      </w:r>
    </w:p>
    <w:p w14:paraId="5B75CF4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第十七条 </w:t>
      </w:r>
      <w:r>
        <w:rPr>
          <w:rFonts w:hint="default" w:ascii="Times New Roman" w:hAnsi="Times New Roman" w:eastAsia="仿宋" w:cs="Times New Roman"/>
          <w:color w:val="000000"/>
          <w:highlight w:val="none"/>
        </w:rPr>
        <w:t>项目负责人应当根据项目研究开发任务的特点和实际需要，按照政策相符性、目标相关性和经济合理性原则，科学、合理、真实地编制自然科学类纵向项目经费预算。</w:t>
      </w:r>
    </w:p>
    <w:p w14:paraId="3067C69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学校科研、财务主管部门加强在预算经费编制等方面的指导作用，按照国家文件的要求，从经费使用和项目管理的角度为自然科学类纵向项目经费预算编制提供建议和指导，严格审核经费预算，按有关规定进行报批和备案。</w:t>
      </w:r>
    </w:p>
    <w:p w14:paraId="475001F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第十八条 </w:t>
      </w:r>
      <w:r>
        <w:rPr>
          <w:rFonts w:hint="default" w:ascii="Times New Roman" w:hAnsi="Times New Roman" w:eastAsia="仿宋" w:cs="Times New Roman"/>
          <w:color w:val="000000"/>
          <w:highlight w:val="none"/>
        </w:rPr>
        <w:t>设备费预算编制中应严格控制设备购置，鼓励共享、试制、租赁专用仪器设备以及对现有仪器设备进行升级改造，确有必要购买的，预算编制时应当对拟购置设备的必要性、现有同样设备的利用情况以及购置设备的开放共享方案等进行单独说明。</w:t>
      </w:r>
    </w:p>
    <w:p w14:paraId="4E4280F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第十九条</w:t>
      </w:r>
      <w:r>
        <w:rPr>
          <w:rFonts w:hint="default" w:ascii="Times New Roman" w:hAnsi="Times New Roman" w:eastAsia="仿宋" w:cs="Times New Roman"/>
          <w:color w:val="000000"/>
          <w:highlight w:val="none"/>
        </w:rPr>
        <w:t xml:space="preserve"> 预算的调整。</w:t>
      </w:r>
    </w:p>
    <w:p w14:paraId="5A5007F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科研项目主管部门有项目预算调整办法的，则严格按其办法执行。科研项目执行中确需调整预算应事先提出，并按规定在校内进行公示后办理。预算调整获批后，项目组须在年度项目报告、中期检查或结题验收时对预算调整情况进行报告和说明。</w:t>
      </w:r>
    </w:p>
    <w:p w14:paraId="01996B2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（一）课题预算总额调整、课题承担单位变更等应当按原课题申报程序报批。</w:t>
      </w:r>
    </w:p>
    <w:p w14:paraId="62FFBB7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（二）相关国家科技计划课题总预算不变，课题合作单位之间以及增加或减少课题合作单位的预算调整，应当按原课题申报程序报批。</w:t>
      </w:r>
    </w:p>
    <w:p w14:paraId="70567A9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项目经费开支应当按照下达的项目经费预算执行。项目经费预算确有必要调剂时，应当按照以下调剂范围和权限，履行相关程序：（1）设备费预算如需调剂，由项目负责人根据科研活动的实际需要提出申请，报学校审批，学校应当统筹考虑现有设备配置情况、科研项目实际需求等，及时办理调剂手续；（2）劳务费、业务费预算如需调剂，由项目负责人根据科研活动实际需要自主安排，报科学技术处备案；（3）项目间接费用预算总额不得调增，经学校与项目负责人协商一致后可调减用于直接费用；（4）由多个合作单位共同承担的项目，合作单位预算调剂由牵头的项目承担单位核准。</w:t>
      </w:r>
    </w:p>
    <w:p w14:paraId="133A7A2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（四）预算调整流程</w:t>
      </w:r>
      <w:r>
        <w:rPr>
          <w:rFonts w:hint="default" w:ascii="Times New Roman" w:hAnsi="Times New Roman" w:eastAsia="仿宋" w:cs="Times New Roman"/>
          <w:color w:val="000000"/>
          <w:highlight w:val="none"/>
          <w:lang w:eastAsia="zh-CN"/>
        </w:rPr>
        <w:t>。</w:t>
      </w:r>
      <w:r>
        <w:rPr>
          <w:rFonts w:hint="default" w:ascii="Times New Roman" w:hAnsi="Times New Roman" w:eastAsia="仿宋" w:cs="Times New Roman"/>
          <w:color w:val="000000"/>
          <w:highlight w:val="none"/>
        </w:rPr>
        <w:t>预算调剂按照上级主管部门项目经费管理办法和学校有关规定办理：设备费预算调剂由项目负责人提出申请，报学校</w:t>
      </w:r>
      <w:r>
        <w:rPr>
          <w:rFonts w:hint="default" w:ascii="Times New Roman" w:hAnsi="Times New Roman" w:eastAsia="仿宋" w:cs="Times New Roman"/>
          <w:color w:val="000000"/>
          <w:highlight w:val="none"/>
          <w:lang w:val="en-US" w:eastAsia="zh-CN"/>
        </w:rPr>
        <w:t>相关部门</w:t>
      </w:r>
      <w:r>
        <w:rPr>
          <w:rFonts w:hint="default" w:ascii="Times New Roman" w:hAnsi="Times New Roman" w:eastAsia="仿宋" w:cs="Times New Roman"/>
          <w:color w:val="000000"/>
          <w:highlight w:val="none"/>
        </w:rPr>
        <w:t>审批后办理；劳务费、业务费预算调剂由项目负责人根据科研活动实际需要自主安排，</w:t>
      </w:r>
      <w:r>
        <w:rPr>
          <w:rFonts w:hint="default" w:ascii="Times New Roman" w:hAnsi="Times New Roman" w:eastAsia="仿宋" w:cs="Times New Roman"/>
          <w:color w:val="000000"/>
          <w:sz w:val="32"/>
          <w:szCs w:val="32"/>
        </w:rPr>
        <w:t>在系统中登记</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highlight w:val="none"/>
        </w:rPr>
        <w:t>报科学技术处备案。预算调整情况在项目年度进展报告、结题报告中予以说明。</w:t>
      </w:r>
    </w:p>
    <w:p w14:paraId="4921E83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五）设备购置费预算调剂涉及间接费用计算金额变化的，应当符合间接费用核定规则。设备购置费调整后预算小于项目计划书设备购置费预算的，项目间接费用不得调增。对于2026年1月1日之后资助期满的项目，因设备购置费预算调增导致原核定间接费用大于项目结题时重新计算的间接费用的，按自然科学基金委有关规定办理。预算调整情况由项目负责人在项目年度进展报告、结题报告中予以说明。</w:t>
      </w:r>
    </w:p>
    <w:p w14:paraId="03C3E852">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第四章 自然科学类纵向项目经费的使用</w:t>
      </w:r>
    </w:p>
    <w:p w14:paraId="23A29EF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第二十条 </w:t>
      </w:r>
      <w:r>
        <w:rPr>
          <w:rFonts w:hint="default" w:ascii="Times New Roman" w:hAnsi="Times New Roman" w:eastAsia="仿宋" w:cs="Times New Roman"/>
          <w:color w:val="000000"/>
          <w:highlight w:val="none"/>
        </w:rPr>
        <w:t>包干制项目实行经费包干制管理，按照《福建中医药大学“包干制”项目科研经费管理办法（试行）》（文号）执行。项目负责人应当本着科学、合理、规范、有效的原则，根据科研活动实际需要自主决定使用，无需编制项目预算。</w:t>
      </w:r>
    </w:p>
    <w:p w14:paraId="36AC798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第二十一条 </w:t>
      </w:r>
      <w:r>
        <w:rPr>
          <w:rFonts w:hint="default" w:ascii="Times New Roman" w:hAnsi="Times New Roman" w:eastAsia="仿宋" w:cs="Times New Roman"/>
          <w:color w:val="000000"/>
          <w:highlight w:val="none"/>
        </w:rPr>
        <w:t>预算制科研经费的范围。</w:t>
      </w:r>
    </w:p>
    <w:p w14:paraId="5D174B9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科研经费开支范围分为直接费用和间接费用（或管理费）。</w:t>
      </w:r>
    </w:p>
    <w:p w14:paraId="2E91D9A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第二十二条 </w:t>
      </w:r>
      <w:r>
        <w:rPr>
          <w:rFonts w:hint="default" w:ascii="Times New Roman" w:hAnsi="Times New Roman" w:eastAsia="仿宋" w:cs="Times New Roman"/>
          <w:color w:val="000000"/>
          <w:highlight w:val="none"/>
        </w:rPr>
        <w:t>直接费用是指在项目实施过程中发生的与之直接相关的费用，主要包括设备费、业务费和劳务费。</w:t>
      </w:r>
    </w:p>
    <w:p w14:paraId="339DEA5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（一）设备费：指在项目实施过程中购置或试制专用仪器设备，对现有仪器设备进行升级改造，以及租赁外单位仪器设备而发生的费用。计算类仪器设备和软件工具可在设备费科目列支。</w:t>
      </w:r>
    </w:p>
    <w:p w14:paraId="2C0A480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 xml:space="preserve">（二）业务费：指在项目实施过程中消耗的各种材料、辅助材料等低值易耗品的采购、运输、装卸、整理等费用，发生的测试化验加工、燃料动力、会议/差旅/国际合作交流、档案/出版/文献/信息传播/知识产权事务等费用，以及其他相关支出。具体内容可包括： </w:t>
      </w:r>
    </w:p>
    <w:p w14:paraId="2CB3D74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1.材料支出主要用于在项目实施过程中消耗的各种原材料、辅助材料等低值易耗品的采购及运输、装卸、整理等支出。</w:t>
      </w:r>
    </w:p>
    <w:p w14:paraId="1006691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测试化验加工支出主要用于由于项目承担单位自身的技术、工艺和设备等条件限制，在项目实施过程中委托或与外单位合作（包括项目承担单位内部独立经济核算单位）进行的检验、测试、化验、加工、计算、试验、设计、制作等所支付的费用。</w:t>
      </w:r>
    </w:p>
    <w:p w14:paraId="4289549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3.燃料动力支出主要用于在项目实施过程中相关大型仪器设备、专用科学装置发生的可以单独计量的水、电、气、暖、燃料消耗等费用。不能单独计量的，应列入间接费用。</w:t>
      </w:r>
    </w:p>
    <w:p w14:paraId="59CDB7D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4.会议/差旅/国际合作交流支出主要用于在项目实施过程中为组织开展学术研讨、咨询论证，以及组织协调项目或课题等活动而发生的会议费用；开展科学实验（试验）、科学考察、业务调研、学术交流及邀请国内外专家、学者和有关人员参加由其主办的会议所发生的国际旅费、城市间交通费、住宿费、伙食补助费和市内交通费等费用；研究人员出国及外国专家来华开展科学技术交流与合作的支出。</w:t>
      </w:r>
    </w:p>
    <w:p w14:paraId="1AF7693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5.档案/出版/文献/信息传播/知识产权事务支出主要用于在项目实施过程中，需要支付的出版、资料购买及印刷、文献检索、专业通讯、专利申请及其他知识产权事务等支出。</w:t>
      </w:r>
    </w:p>
    <w:p w14:paraId="509A3EE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除“三类高质量论文”外的论文版面费列支原则上不得超过2篇，论文接收时间在国家发布的学术期刊“黑名单”或预警名单时间之后的，发表的论文版面费不得列支。</w:t>
      </w:r>
    </w:p>
    <w:p w14:paraId="7B74543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我校高质量论文（含三类高质量学术论文）参照《福建中医药大学职称评聘实施办法（试行）》（闽中医办〔2022〕3号）中规定的A类、B类、C类期刊。国家发布的学术期刊“黑名单”或预警名单参照同期中国科学院《国际期刊预警名单》。</w:t>
      </w:r>
    </w:p>
    <w:p w14:paraId="537CA0D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6.其他相关支出主要用于项目实施过程中除上述支出之外的其他业务费支出。</w:t>
      </w:r>
    </w:p>
    <w:p w14:paraId="13447C5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（三）劳务费：指项目承担单位在科研项目实施过程中支付给项目聘用人员的劳务性费用，以及支付给临时聘请的咨询专家的费用等。</w:t>
      </w:r>
    </w:p>
    <w:p w14:paraId="5655638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项目聘用人员指项目承担单位临时聘用的科研人员和通过签订劳动合同、劳务派遣或聘用协议等方式组织参与项目研究的人员，包括参与项目研究的研究生、博士后、访问学者、研究人员、科研辅助人员、科研财务助理等人员。</w:t>
      </w:r>
    </w:p>
    <w:p w14:paraId="3B1727A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2.劳务性费用包括支付给项目聘用人员的工资、补贴和社会保险、住房公积金等费用支出。</w:t>
      </w:r>
    </w:p>
    <w:p w14:paraId="311F440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3.咨询专家的费用（以下简称专家咨询费）不得支付给参与本项目及所属课题研究和管理的相关人员。专家咨询费按以下标准执行：</w:t>
      </w:r>
    </w:p>
    <w:p w14:paraId="7665025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（1）高级专业技术职称人员的专家咨询费标准为1500元/人天（税后）；其他专业人员的专家咨询费标准为900元/人天（税后）。</w:t>
      </w:r>
    </w:p>
    <w:p w14:paraId="262E140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（2）院士、全国知名专家咨询费标准为3600元/人天（税后）。</w:t>
      </w:r>
    </w:p>
    <w:p w14:paraId="1A4D4DB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以会议（包括视频会议）、现场访谈或者勘察形式组织专家咨询活动的，活动为半天的，按以上标准的60%执行；活动不超过2天的，按以上标准执行；活动超过2天的，第3天及以后按以上标准的50%执行；邀请省外专家参加现场活动的，可给予往返补贴1000元/人次。</w:t>
      </w:r>
    </w:p>
    <w:p w14:paraId="1481CA0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以通过信函、邮件等通讯方式（包括非会议形式的网评）组织专家咨询活动的，专家咨询费按人次（项）计算，每人次（项）按以上标准的10%—30%执行。</w:t>
      </w:r>
    </w:p>
    <w:p w14:paraId="0176681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第二十三条 </w:t>
      </w:r>
      <w:r>
        <w:rPr>
          <w:rFonts w:hint="default" w:ascii="Times New Roman" w:hAnsi="Times New Roman" w:eastAsia="仿宋" w:cs="Times New Roman"/>
          <w:color w:val="000000"/>
          <w:highlight w:val="none"/>
        </w:rPr>
        <w:t>间接费用（或管理费）的计提和使用按照《福建中医药大学科研课题间接费用管理办法》执行。</w:t>
      </w:r>
    </w:p>
    <w:p w14:paraId="7AA97B6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学校公开透明、合理合规地使用间接费用。间接费用中的管理费用补助支出，以及为项目研究提供的房屋占用，日常水、电、气、暖等消耗，可通过计提或者报销的方式使用。学校统筹管理间接费用支出，处理好管理费用补助支出和科研人员激励两方面的关系，避免出现在直接费用中列支本应当在间接费用开支内容的问题。项目有合作研究单位的，学校与合作研究单位协商分配间接费用并在合作研究协议（合同）中明确。</w:t>
      </w:r>
    </w:p>
    <w:p w14:paraId="73B1FD6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第二十四条 </w:t>
      </w:r>
      <w:r>
        <w:rPr>
          <w:rFonts w:hint="default" w:ascii="Times New Roman" w:hAnsi="Times New Roman" w:eastAsia="仿宋" w:cs="Times New Roman"/>
          <w:color w:val="000000"/>
          <w:highlight w:val="none"/>
        </w:rPr>
        <w:t>自然科学类纵向项目经费必须严格按照批复的科研项目预算和项目批准单位的要求使用。项目主管部门或委托单位有明确批复各预算科目支出额度的，按批复执行；无明确批复各预算科目支出额度的，项目负责人应补充编制预算，并报学校科研主管部门审批后执行。</w:t>
      </w:r>
    </w:p>
    <w:p w14:paraId="34266C0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任何单位和个人不得利用职务和学术的影响指定要求自然科学类纵向项目经费的安排，不得假借承担科研项目单位的名义搭车使用科研经费。</w:t>
      </w:r>
    </w:p>
    <w:p w14:paraId="433B7FF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第二十五条 </w:t>
      </w:r>
      <w:r>
        <w:rPr>
          <w:rFonts w:hint="default" w:ascii="Times New Roman" w:hAnsi="Times New Roman" w:eastAsia="仿宋" w:cs="Times New Roman"/>
          <w:color w:val="000000"/>
          <w:highlight w:val="none"/>
        </w:rPr>
        <w:t>上级部门有规定要求配套科研经费的项目，配套经费按《福建中医药大学科研配套经费管理办法》执行。</w:t>
      </w:r>
    </w:p>
    <w:p w14:paraId="1ECB2B8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第二十六条 </w:t>
      </w:r>
      <w:r>
        <w:rPr>
          <w:rFonts w:hint="default" w:ascii="Times New Roman" w:hAnsi="Times New Roman" w:eastAsia="仿宋" w:cs="Times New Roman"/>
          <w:color w:val="000000"/>
          <w:highlight w:val="none"/>
        </w:rPr>
        <w:t>科研人员必须按照实际开展的科研活动，取得真实、合法票据，据实报销支出。</w:t>
      </w:r>
    </w:p>
    <w:p w14:paraId="61CBC2D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项目经费管理使用不得存在以下行为（负面清单）：</w:t>
      </w:r>
    </w:p>
    <w:p w14:paraId="1C42569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（一）编报虚假预算；</w:t>
      </w:r>
    </w:p>
    <w:p w14:paraId="2BA5298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（二）未对项目经费进行单独核算；</w:t>
      </w:r>
    </w:p>
    <w:p w14:paraId="000C617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（三）列支与本项目任务无关的支出；</w:t>
      </w:r>
    </w:p>
    <w:p w14:paraId="0348365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（四）超标准列支项目经费；</w:t>
      </w:r>
    </w:p>
    <w:p w14:paraId="59A44B2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（五）使用项目资金列支应当由个人负担的有关费用和支付各种罚款、捐款、赞助、投资，偿还债务等；</w:t>
      </w:r>
    </w:p>
    <w:p w14:paraId="3F56D2B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（六）未按规定执行和调剂预算，违反规定转拨项目经费；</w:t>
      </w:r>
    </w:p>
    <w:p w14:paraId="71CDB072">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（七）通过编报虚假合同、虚假票据、虚构事项、虚报人员等弄虚作假，转移、套取、报销项目经费；</w:t>
      </w:r>
    </w:p>
    <w:p w14:paraId="0821703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（八）截留、挤占、挪用项目经费；</w:t>
      </w:r>
    </w:p>
    <w:p w14:paraId="120E166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（九）设置账外账、随意调账变动支出、随意修改记账凭证、提供虚假财务会计资料等；</w:t>
      </w:r>
    </w:p>
    <w:p w14:paraId="4210663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（十）在直接费用中列支通用办公用品及办公设备费用。</w:t>
      </w:r>
    </w:p>
    <w:p w14:paraId="7F3A6D0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（十一）在直接费用中列支本应当在间接费用中开支的内容（如为项目研究提供的房屋占用，日常水、电、气、暖等消耗，管理费用补助等）。</w:t>
      </w:r>
    </w:p>
    <w:p w14:paraId="7D3D4F35">
      <w:pPr>
        <w:keepNext w:val="0"/>
        <w:keepLines w:val="0"/>
        <w:pageBreakBefore w:val="0"/>
        <w:kinsoku/>
        <w:topLinePunct w:val="0"/>
        <w:autoSpaceDE/>
        <w:autoSpaceDN/>
        <w:bidi w:val="0"/>
        <w:snapToGrid w:val="0"/>
        <w:spacing w:line="360" w:lineRule="auto"/>
        <w:ind w:firstLine="632" w:firstLineChars="200"/>
        <w:jc w:val="left"/>
        <w:textAlignment w:val="auto"/>
        <w:rPr>
          <w:rFonts w:hint="default" w:ascii="Times New Roman" w:hAnsi="Times New Roman" w:eastAsia="黑体" w:cs="Times New Roman"/>
          <w:bCs/>
          <w:color w:val="000000"/>
          <w:highlight w:val="none"/>
        </w:rPr>
      </w:pPr>
      <w:r>
        <w:rPr>
          <w:rFonts w:hint="default" w:ascii="Times New Roman" w:hAnsi="Times New Roman" w:eastAsia="仿宋" w:cs="Times New Roman"/>
          <w:color w:val="000000"/>
          <w:highlight w:val="none"/>
        </w:rPr>
        <w:t>（十二）其他违反国家财经纪律的行为。</w:t>
      </w:r>
    </w:p>
    <w:p w14:paraId="37F433B0">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第五章 自然科学类纵向项目经费的审批与报销</w:t>
      </w:r>
    </w:p>
    <w:p w14:paraId="0980278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第二十七条 </w:t>
      </w:r>
      <w:r>
        <w:rPr>
          <w:rFonts w:hint="default" w:ascii="Times New Roman" w:hAnsi="Times New Roman" w:eastAsia="仿宋" w:cs="Times New Roman"/>
          <w:color w:val="000000"/>
          <w:highlight w:val="none"/>
        </w:rPr>
        <w:t>建立健全自然科学类纵向项目经费管理制度，加强内部控制，规范经费使用，明确项目经费的审批权限。明确项目负责人以及科技、财务、审计主管部门和分管领导职责、审批权限和审批流程，确保项目经费规范管理。</w:t>
      </w:r>
    </w:p>
    <w:p w14:paraId="25DDC01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（一）差旅费、会议费、劳务费、专家咨询费由项目负责人审核，报项目负责人所在院（部）分管科研的部门领导审批后报销。</w:t>
      </w:r>
    </w:p>
    <w:p w14:paraId="08EAB6C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1.差旅费报销按学校现有差旅费管理办法执行，出差人是院（部）负责人的，由所在院（部）分管科研的部门领导审核，报所在院（部）分管校领导审批。</w:t>
      </w:r>
    </w:p>
    <w:p w14:paraId="3A78B02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会议费指在项目研究、开发过程中为组织开展研讨、咨询以及协调项目等活动发生的会议费用。确因科研项目需要举办的业务性会议（如学术会议、研讨会、座谈会、评审会、答辩会等），其会议的次数、天数、人数、开支范围和开支标准，项目组应本着实事求是、精简高效、厉行节约的原则，按照学校会议费管理办法执行。</w:t>
      </w:r>
    </w:p>
    <w:p w14:paraId="1E2F9C4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会议代表参加会议所发生的城市间交通费，原则上按差旅费管理办法由所在单位报销；因工作需要，邀请国内外专家、学者和有关人员参加会议，对确需负担的城市间交通费、国际旅费，可由主办（承办）单位在会议费等预算额度中报销。科研项目经费主管部门另有规定的按规定执行。</w:t>
      </w:r>
    </w:p>
    <w:p w14:paraId="1D871DF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劳务费、专家咨询费发放按相关政策规定执行。</w:t>
      </w:r>
    </w:p>
    <w:p w14:paraId="7D31459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（二）设备费、国际合作与交流费由项目负责人根据项目书的要求审签，经项目负责人所在院（部）分管科研的部门领导审核，报科研主管部门审批后报销。</w:t>
      </w:r>
    </w:p>
    <w:p w14:paraId="00F9EA1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项目组为完成项目任务目标的出国（境）参加学术交流活动的次数、天数，可根据科研活动实际需要予以安排，在科研经费中列支的国际合作与交流费用不纳入“三公”经费统计范围，不受零增长要求限制。</w:t>
      </w:r>
    </w:p>
    <w:p w14:paraId="2A29E151">
      <w:pPr>
        <w:keepNext w:val="0"/>
        <w:keepLines w:val="0"/>
        <w:pageBreakBefore w:val="0"/>
        <w:numPr>
          <w:ilvl w:val="0"/>
          <w:numId w:val="1"/>
        </w:numPr>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材料费、测试化验加工费、燃料动力费、出版/文献/信息传播/知识产权事务费和其他支出，单批次5万元以下的支出由项目负责人审批后报销，单批次5万元以上（含5万元）的支出经项目负责人审核，项目负责人所在院（部）分管科研的部门领导审批后报销。</w:t>
      </w:r>
    </w:p>
    <w:p w14:paraId="1891774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科研耗材申购按《福建中医药大学低值品、材料和易耗品采购实施细则》（闽中医资〔2024〕2号）执行，通过学校网络申购审批一体化平台进行采购。各院（部）应建立材料出入库管理制度，严格物品保管责任制度，对物品的采购计划、验收、使用、保管、回收等应专人负责，手续清楚，账物相符，定期核对检查，并按照学校档案管理规定的要求保管材料相关凭据及账册。</w:t>
      </w:r>
    </w:p>
    <w:p w14:paraId="769BBC7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所有论文发表列支的版面费，申请人需填写《福建中医药大学学术论文版面费报销审批表》（见附件），经该论文通讯作者或第一作者所在二级单位审批，对于单篇论文发表超过2万元（含2万元）人民币的，需经该论文通讯作者或第一作者所在单位学术委员会对论文发表的必要性审核通过后，报科学技术处备案后方可列支。</w:t>
      </w:r>
    </w:p>
    <w:p w14:paraId="63C151B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知识产权事务费中专利申请费用列支，申请人须填写《专利权人说明》（见附件），经所在单位、科学技术处审批后方可列支。</w:t>
      </w:r>
    </w:p>
    <w:p w14:paraId="74774E6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（四）加强支出相关性审核。项目负责人和院（部）审核人应当按照目标相关性、政策相符性和经济合理性原则审核每一笔支出，不得列支与本项目任务无关的支出。</w:t>
      </w:r>
    </w:p>
    <w:p w14:paraId="17AD751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1.论文版面费报销前，应当核对论文是否为本项目研究成果（论文是否标注本项目资助、作者与本项目的关系），非本项目成果的论文版面费、检索费不得列支；用于报奖、评奖的论文检索费不得列支。</w:t>
      </w:r>
    </w:p>
    <w:p w14:paraId="5EC4FDA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2.差旅费、会议费、培训费报销应当与项目研究任务相关，并留存任务相关性佐证（如会议通知、培训通知、差旅审批单等）。</w:t>
      </w:r>
    </w:p>
    <w:p w14:paraId="0828078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3.测试化验加工费不得列支与本项目研究无关的测试费用。</w:t>
      </w:r>
    </w:p>
    <w:p w14:paraId="5D7580F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4.不得在直接费用中列支通用办公用品及办公设备费用；不得列支与本项目无关的专利代理费、专利年费。</w:t>
      </w:r>
    </w:p>
    <w:p w14:paraId="5BE3078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五）规范账务调整。严禁随意调账变动支出。因填报错误等原因确需调账的，由项目负责人提出书面申请，说明调账原因、涉及金额和涉及项目，经学院审核、科学技术处确认同意后，由财务处办理，并在财务系统中留痕。项目预算不足的，应当按照本办法预算调整的规定办理预算调剂，不得以调账方式替代。</w:t>
      </w:r>
    </w:p>
    <w:p w14:paraId="799D39F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第二十八条 </w:t>
      </w:r>
      <w:r>
        <w:rPr>
          <w:rFonts w:hint="default" w:ascii="Times New Roman" w:hAnsi="Times New Roman" w:eastAsia="仿宋" w:cs="Times New Roman"/>
          <w:color w:val="000000"/>
          <w:highlight w:val="none"/>
        </w:rPr>
        <w:t xml:space="preserve"> 自然科学类纵向项目经费用于购置国家规定的控购物资、仪器设备、购买货物、工程或服务时必须严格按照项目经费预算方案，按照法定的采购方式、方法和程序，以及国家、省及学校有关设备采购、招投标、资产管理等规定执行。</w:t>
      </w:r>
    </w:p>
    <w:p w14:paraId="584CD73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第二十九条 </w:t>
      </w:r>
      <w:r>
        <w:rPr>
          <w:rFonts w:hint="default" w:ascii="Times New Roman" w:hAnsi="Times New Roman" w:eastAsia="仿宋" w:cs="Times New Roman"/>
          <w:color w:val="000000"/>
          <w:highlight w:val="none"/>
        </w:rPr>
        <w:t>支付合作（协作）单位设备费、测试化验加工费和协作费等，必须严格按照课题项目中标任务书及有关规定，双方签订订货合同、委托加工合同、技术服务合同和科研合作（协作）合同。项目承担单位应严格执行项目预算，不得层层转拨、变相转拨经费，不得借科研协作之名，将科研经费挪作他用。</w:t>
      </w:r>
    </w:p>
    <w:p w14:paraId="0A0D472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第三十条 </w:t>
      </w:r>
      <w:r>
        <w:rPr>
          <w:rFonts w:hint="default" w:ascii="Times New Roman" w:hAnsi="Times New Roman" w:eastAsia="仿宋" w:cs="Times New Roman"/>
          <w:color w:val="000000"/>
          <w:highlight w:val="none"/>
        </w:rPr>
        <w:t>加强自然科学类纵向项目经费转拨管理。</w:t>
      </w:r>
    </w:p>
    <w:p w14:paraId="139D9DFA">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（一）自然科学类纵向项目经费转拨按合同执行。</w:t>
      </w:r>
    </w:p>
    <w:p w14:paraId="658F402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1.自然科学类纵向项目合同（任务书）有明确合作（协作）单位及预算的经费转拨，报学校科研主管部门审批后执行。</w:t>
      </w:r>
    </w:p>
    <w:p w14:paraId="7863924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自然科学类纵向项目合同（任务书）有明确合作（协作）单位，但没有具体预算额度的经费转拨，由项目组提出预算申请，经项目负责人所在单位公示3个工作日无异议后，方可签订合同，报学校科研主管部门审批后执行。</w:t>
      </w:r>
    </w:p>
    <w:p w14:paraId="0B1D91A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3.自然科学类纵向项目合同（任务书）没有明确合作（协作）单位的经费转拨，需按政府采购有关规定进行招标。</w:t>
      </w:r>
    </w:p>
    <w:p w14:paraId="1DAD2C7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各附属医院或学校直属独立法人单位的人员承担的自然科学类纵向项目，其研究经费下达至我校的一般不予转拨，有明确规定承担单位的按规定转拨，没有明确规定的，可通过签订《福建中医药大学科研项目研究经费转拨合同》（以下简称经费转拨合同），分批或者一次性转拨附属医院或直属单位。附属医院或直属单位应按照项目任务书、项目预算及本单位相关经费使用管理规定使用项目经费。</w:t>
      </w:r>
    </w:p>
    <w:p w14:paraId="62F9B936">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加强外拨资金管理。1.项目负责人对合作单位经费使用的真实性、相关性承担监管责任。2.合作单位应当按照项目任务书（合同）约定使用经费，并按验收节点向项目负责人提供经费支出明细，纳入项目决算。3.在合作研究协议（合同）中明确“不得列支与本项目任务无关的支出”条款及违约责任；合作研究单位不得以委托研发、合作研发等形式再向外转拨资金。4.学校建立合作单位经费使用抽查机制，对合作单位经费使用情况开展抽查，对存在问题的合作单位</w:t>
      </w:r>
      <w:r>
        <w:rPr>
          <w:rFonts w:hint="default" w:ascii="Times New Roman" w:hAnsi="Times New Roman" w:eastAsia="仿宋" w:cs="Times New Roman"/>
          <w:color w:val="000000"/>
          <w:highlight w:val="none"/>
          <w:lang w:val="en-US" w:eastAsia="zh-CN"/>
        </w:rPr>
        <w:t>项目负责人</w:t>
      </w:r>
      <w:r>
        <w:rPr>
          <w:rFonts w:hint="default" w:ascii="Times New Roman" w:hAnsi="Times New Roman" w:eastAsia="仿宋" w:cs="Times New Roman"/>
          <w:color w:val="000000"/>
          <w:highlight w:val="none"/>
        </w:rPr>
        <w:t>进行约谈并责令整改；情节严重的，暂停或者终止转拨。</w:t>
      </w:r>
    </w:p>
    <w:p w14:paraId="4D690C7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规范合作研究管理。学校作为主体与合作研究单位签订合作研究协议（合同）并加盖公章，最晚在项目计划书审核后一个月内完成签订。协议（合同）中应当明确资金管理要求、转拨资金金额和时间（可包括直接费用和间接费用）、违约违规处理等内容。研究过程中因任务分工调整或者转拨资金发生变动的，应当及时签订补充协议（合同），并在项目年度进展报告、结题报告中单独说明；转拨资金调增的，从严控制、充分论证必要性。合作研究单位不得以委托研发、合作研发等形式再向外转拨资金。对研究进度严重滞后或者存在项目资金管理问题的合作研究单位，学校可以暂缓拨款或者调整转拨金额。</w:t>
      </w:r>
    </w:p>
    <w:p w14:paraId="4D989D1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第三十一条 </w:t>
      </w:r>
      <w:r>
        <w:rPr>
          <w:rFonts w:hint="default" w:ascii="Times New Roman" w:hAnsi="Times New Roman" w:eastAsia="仿宋" w:cs="Times New Roman"/>
          <w:color w:val="000000"/>
          <w:highlight w:val="none"/>
        </w:rPr>
        <w:t>加强自然科学类纵向项目经费大额支出管理，严格按照《福建中医药大学校长办公会议议事规则》（闽中医委〔2024〕22号）执行。</w:t>
      </w:r>
    </w:p>
    <w:p w14:paraId="68FA7A4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第三十二条 </w:t>
      </w:r>
      <w:r>
        <w:rPr>
          <w:rFonts w:hint="default" w:ascii="Times New Roman" w:hAnsi="Times New Roman" w:eastAsia="仿宋" w:cs="Times New Roman"/>
          <w:color w:val="000000"/>
          <w:highlight w:val="none"/>
        </w:rPr>
        <w:t>使用自然科学类纵向项目经费购置或研制的仪器、设备，凡在项目完成后不交付项目下达方或委托方的，均须纳入学校固定资产统一管理，并办理相应手续后方能报销。</w:t>
      </w:r>
    </w:p>
    <w:p w14:paraId="3C08916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第三十三条 </w:t>
      </w:r>
      <w:r>
        <w:rPr>
          <w:rFonts w:hint="default" w:ascii="Times New Roman" w:hAnsi="Times New Roman" w:eastAsia="仿宋" w:cs="Times New Roman"/>
          <w:color w:val="000000"/>
          <w:highlight w:val="none"/>
        </w:rPr>
        <w:t>使用自然科学类纵向项目经费所购置或研制的仪器、设备，凡在项目完成后须交付项目下达方或委托方的，由项目负责人在验收单上签字注明并附研究（研制）合同复印件（合同中应载明须交付项目下达方或委托方的具体仪器、设备及台套数）后方能报销。</w:t>
      </w:r>
    </w:p>
    <w:p w14:paraId="2FC7D6A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第三十四条</w:t>
      </w:r>
      <w:r>
        <w:rPr>
          <w:rFonts w:hint="default" w:ascii="Times New Roman" w:hAnsi="Times New Roman" w:eastAsia="仿宋" w:cs="Times New Roman"/>
          <w:color w:val="000000"/>
          <w:highlight w:val="none"/>
        </w:rPr>
        <w:t xml:space="preserve"> 自然科学类纵向项目经费的支出，应严格按照国库集中支付制度和公务卡管理制度的有关规定执行，应通行银行转账或公务卡支付，在不具备刷公务卡条件的情况下，可不使用公务卡结算，但原则上不得使用现金。</w:t>
      </w:r>
    </w:p>
    <w:p w14:paraId="4594BF6D">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第六章 自然科学类纵向项目经费的决算和验收</w:t>
      </w:r>
    </w:p>
    <w:p w14:paraId="5113805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第三十五条 加强自然科学类纵向项目预算执行的管理，根据预算执行进度合理安排支出，最大限度地减少资金的结存结余，按规定编制决算和办理验收手续。（一）决算截止时间。项目决算以项目计划书（任务书）约定的项目截止当年12月31日为决算截止日；项目指南（通知）明确规定其他决算截止日的，从其规定。（二）决算编制。项目负责人应当在项目资助期满后，会同科学技术处、财务处、资产管理处及时清理账目与资产。填写决算前，项目负责人应当到财务处开具加盖财务处公章的项目开支清单总明细，据实填写决算报告，不得以估算数、未报销数或者应付未付数充抵决算支出。（三）决算审核。项目负责人提交结题报告时，应当同时提交财务处盖章的项目开支清单。科学技术处在报送结题报告前，应当核对项目负责人填报的决算经费总开支与财务处提供的项目开支清单总额是否一致；不一致的，不予报送，由项目负责人查明原因并更正后重新报送。有多个单位共同承担一个项目的，项目负责人和合作研究单位的参与者应当分别编报项目决算，经所在单位科研、财务管理部门审核并签署意见后，由项目负责人汇总编制。（四）决算责任。项目负责人对决算数据的真实性、准确性和完整性负责。</w:t>
      </w:r>
    </w:p>
    <w:p w14:paraId="50E6AEC8">
      <w:pPr>
        <w:keepNext w:val="0"/>
        <w:keepLines w:val="0"/>
        <w:pageBreakBefore w:val="0"/>
        <w:kinsoku/>
        <w:overflowPunct w:val="0"/>
        <w:topLinePunct w:val="0"/>
        <w:autoSpaceDE/>
        <w:autoSpaceDN/>
        <w:bidi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bCs w:val="0"/>
          <w:color w:val="000000"/>
          <w:highlight w:val="none"/>
        </w:rPr>
        <w:t>第三十六条</w:t>
      </w:r>
      <w:r>
        <w:rPr>
          <w:rFonts w:hint="default" w:ascii="Times New Roman" w:hAnsi="Times New Roman" w:eastAsia="仿宋" w:cs="Times New Roman"/>
          <w:b w:val="0"/>
          <w:bCs/>
          <w:color w:val="000000"/>
          <w:highlight w:val="none"/>
        </w:rPr>
        <w:t xml:space="preserve"> 自然科学类纵向项目结存结余经费的管理。</w:t>
      </w:r>
    </w:p>
    <w:p w14:paraId="338D8FD6">
      <w:pPr>
        <w:keepNext w:val="0"/>
        <w:keepLines w:val="0"/>
        <w:pageBreakBefore w:val="0"/>
        <w:kinsoku/>
        <w:overflowPunct w:val="0"/>
        <w:topLinePunct w:val="0"/>
        <w:autoSpaceDE/>
        <w:autoSpaceDN/>
        <w:bidi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自然科学类纵向项目结余经费，自项目验收结题之日起2年内留归项目团队继续使用，主要用于科研活动的直接支出，不得用于科技项目的间接费用支出，不得单独用于劳务费支出。上级政策有规定的，从其规定。</w:t>
      </w:r>
    </w:p>
    <w:p w14:paraId="296E11A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（二）项目通过验收结题后，结余资金比例超过30%的（2025年及以后年度结题的项目），项目负责人应当在结题报告中详细说明结余资金产生的原因以及后续资金使用计划，并报科学技术处备案。</w:t>
      </w:r>
    </w:p>
    <w:p w14:paraId="3E958E2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项目团队使用期满后仍有结余的，结余资金留归学校使用，统筹用于基础研究的直接支出（直接费用），不得支出间接费用；结余资金专款专用，学校统筹管理使用时不得与其他渠道的资金混用。学校优先考虑原项目团队科研需求，对原项目团队两年内（以收到准予结题通知后的次年1月1日起计算）仍未使用完的结余资金，加大统筹盘活力度，统筹用于设立校内基础研究项目，支持青年人才培育和原创研究。</w:t>
      </w:r>
    </w:p>
    <w:p w14:paraId="5304F81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学校建立项目经费执行进度预警机制，按年度（每年6月）统计在研项目的资金执行率，对执行进度明显滞后的项目，由科学技术处会同财务处提醒、约谈项目负责人并跟踪督办。</w:t>
      </w:r>
    </w:p>
    <w:p w14:paraId="7C36C1F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bCs w:val="0"/>
          <w:color w:val="000000"/>
          <w:highlight w:val="none"/>
        </w:rPr>
        <w:t>第三十七条</w:t>
      </w:r>
      <w:r>
        <w:rPr>
          <w:rFonts w:hint="default" w:ascii="Times New Roman" w:hAnsi="Times New Roman" w:eastAsia="仿宋" w:cs="Times New Roman"/>
          <w:b w:val="0"/>
          <w:bCs/>
          <w:color w:val="000000"/>
          <w:highlight w:val="none"/>
        </w:rPr>
        <w:t xml:space="preserve"> 自然科学类纵向项目负责人变更，院（部）和科研主管部门应根据项目研究需要和国家有关要求及时确定新的项目负责人，办理合同变更手续及财务确认手续。</w:t>
      </w:r>
    </w:p>
    <w:p w14:paraId="7248E07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bCs w:val="0"/>
          <w:color w:val="000000"/>
          <w:highlight w:val="none"/>
        </w:rPr>
        <w:t>第三十八条</w:t>
      </w:r>
      <w:r>
        <w:rPr>
          <w:rFonts w:hint="default" w:ascii="Times New Roman" w:hAnsi="Times New Roman" w:eastAsia="仿宋" w:cs="Times New Roman"/>
          <w:b w:val="0"/>
          <w:bCs/>
          <w:color w:val="000000"/>
          <w:highlight w:val="none"/>
        </w:rPr>
        <w:t xml:space="preserve"> 自然科学类纵向项目负责人应在任务书规定结题时间内，提前3个月将项目总结报告、论著、技术文件、实验记录等有关资料，连同经费结算表报送科研主管部门或科研任务下达的主管部门，经同意后办理经费结算手续。</w:t>
      </w:r>
    </w:p>
    <w:p w14:paraId="1AB327F0">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bCs w:val="0"/>
          <w:color w:val="000000"/>
          <w:highlight w:val="none"/>
        </w:rPr>
        <w:t>第三十九条</w:t>
      </w:r>
      <w:r>
        <w:rPr>
          <w:rFonts w:hint="default" w:ascii="Times New Roman" w:hAnsi="Times New Roman" w:eastAsia="仿宋" w:cs="Times New Roman"/>
          <w:b w:val="0"/>
          <w:bCs/>
          <w:color w:val="000000"/>
          <w:highlight w:val="none"/>
        </w:rPr>
        <w:t xml:space="preserve"> 建立完整的自然科学类纵向项目研究（研制）档案，根据档案管理相关规定，按年度移交学校档案主管部门。</w:t>
      </w:r>
    </w:p>
    <w:p w14:paraId="17781F9F">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第七章  科研财务助理</w:t>
      </w:r>
    </w:p>
    <w:p w14:paraId="226E56D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第四十条 </w:t>
      </w:r>
      <w:r>
        <w:rPr>
          <w:rFonts w:hint="default" w:ascii="Times New Roman" w:hAnsi="Times New Roman" w:eastAsia="仿宋" w:cs="Times New Roman"/>
          <w:b w:val="0"/>
          <w:bCs/>
          <w:color w:val="000000"/>
          <w:highlight w:val="none"/>
        </w:rPr>
        <w:t>聘用科研财务助理，为科研人员在预算编制、经费报销、决算填报等方面提供专业化服务。</w:t>
      </w:r>
    </w:p>
    <w:p w14:paraId="54BF0BC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配备范围。学校承担的国家自然科学基金等自然科学类国家级纵向项目，在研项目应当配备相对固定的科研财务助理。项目较多的院（部）可统筹配备；项目较少的院（部）可由院（部）科研管理人员兼任或由项目负责人自行聘任。</w:t>
      </w:r>
    </w:p>
    <w:p w14:paraId="32AC11E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（二）选聘与管理。科研财务助理由院（部）会同科学技术处、财务处选聘，报科学技术处备案。科研财务助理应当具备相应的科研管理知识，上岗前须接受财务处组织的业务培训。</w:t>
      </w:r>
    </w:p>
    <w:p w14:paraId="676C224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主要职责。科研财务助理协助项目负责人办理以下事项：1.项目经费预算编制与申报；2.经费报销单据的整理、初审与报送；3.项目经费决算报表的编制与核对；4.项目经费使用台账的建立与维护；5.项目财务资料的整理与归档；6.其他与项目经费管理有关的事务性工作。</w:t>
      </w:r>
    </w:p>
    <w:p w14:paraId="60C2D968">
      <w:pPr>
        <w:keepNext w:val="0"/>
        <w:keepLines w:val="0"/>
        <w:pageBreakBefore w:val="0"/>
        <w:kinsoku/>
        <w:topLinePunct w:val="0"/>
        <w:autoSpaceDE/>
        <w:autoSpaceDN/>
        <w:bidi w:val="0"/>
        <w:snapToGrid w:val="0"/>
        <w:spacing w:line="360" w:lineRule="auto"/>
        <w:ind w:firstLine="632" w:firstLineChars="200"/>
        <w:jc w:val="left"/>
        <w:textAlignment w:val="auto"/>
        <w:rPr>
          <w:rFonts w:hint="default" w:ascii="Times New Roman" w:hAnsi="Times New Roman" w:eastAsia="黑体" w:cs="Times New Roman"/>
          <w:bCs/>
          <w:color w:val="000000"/>
          <w:highlight w:val="none"/>
        </w:rPr>
      </w:pPr>
      <w:r>
        <w:rPr>
          <w:rFonts w:hint="default" w:ascii="Times New Roman" w:hAnsi="Times New Roman" w:eastAsia="仿宋" w:cs="Times New Roman"/>
          <w:color w:val="000000"/>
          <w:highlight w:val="none"/>
        </w:rPr>
        <w:t>（四）经费保障。科研财务助理所需费用，可从项目劳务费等项目相关经费中列支，按学校有关规定执行。</w:t>
      </w:r>
    </w:p>
    <w:p w14:paraId="2C517E67">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第八章  绩效管理</w:t>
      </w:r>
    </w:p>
    <w:p w14:paraId="6768F6BD">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第四十一条</w:t>
      </w:r>
      <w:r>
        <w:rPr>
          <w:rFonts w:hint="default" w:ascii="Times New Roman" w:hAnsi="Times New Roman" w:eastAsia="仿宋" w:cs="Times New Roman"/>
          <w:b w:val="0"/>
          <w:bCs/>
          <w:color w:val="000000"/>
          <w:highlight w:val="none"/>
        </w:rPr>
        <w:t xml:space="preserve"> 科研项目绩效管理，对自然科学类纵向项目实行绩效目标管理和绩效考核。</w:t>
      </w:r>
    </w:p>
    <w:p w14:paraId="5AFB3DA8">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（一）绩效目标。项目负责人编制项目预算时应当同步提出项目绩效目标。</w:t>
      </w:r>
    </w:p>
    <w:p w14:paraId="6CB304D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（二）绩效考核指标。绩效考核主要包括：1.项目任务书（合同）约定的研究任务完成情况；2.项目成果产出情况；3.项目经费执行进度和执行率；4.项目资金使用的合规性；5.项目档案资料的完整性。</w:t>
      </w:r>
    </w:p>
    <w:p w14:paraId="2FE999F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（四）考核程序。项目结题后，由项目负责人提交绩效自评报告，院（部）组织初评，科学技术处会同财务处复核。</w:t>
      </w:r>
    </w:p>
    <w:p w14:paraId="042CDE37">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第九章 科研项目信誉承诺</w:t>
      </w:r>
    </w:p>
    <w:p w14:paraId="075E77A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
          <w:bCs/>
          <w:color w:val="000000"/>
          <w:highlight w:val="none"/>
        </w:rPr>
      </w:pPr>
      <w:r>
        <w:rPr>
          <w:rFonts w:hint="default" w:ascii="Times New Roman" w:hAnsi="Times New Roman" w:eastAsia="仿宋" w:cs="Times New Roman"/>
          <w:b/>
          <w:bCs/>
          <w:color w:val="000000"/>
          <w:highlight w:val="none"/>
        </w:rPr>
        <w:t xml:space="preserve">第四十二条 </w:t>
      </w:r>
      <w:r>
        <w:rPr>
          <w:rFonts w:hint="default" w:ascii="Times New Roman" w:hAnsi="Times New Roman" w:eastAsia="仿宋" w:cs="Times New Roman"/>
          <w:b w:val="0"/>
          <w:bCs w:val="0"/>
          <w:color w:val="000000"/>
          <w:highlight w:val="none"/>
        </w:rPr>
        <w:t>实行科研项目信誉承诺机制</w:t>
      </w:r>
    </w:p>
    <w:p w14:paraId="576DD83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（一）依托单位承诺。学校承诺依法履行项目资金管理职责，建立健全项目资金管理制度，完善内部控制和监督约束机制。</w:t>
      </w:r>
    </w:p>
    <w:p w14:paraId="67898FA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（二）项目负责人承诺。项目负责人在项目申报、立项、执行和结题各环节，应当签署科研诚信与资金使用承诺书，承诺提供真实的项目信息，认真遵守项目资金管理有关规定，依法、据实使用项目经费。</w:t>
      </w:r>
    </w:p>
    <w:p w14:paraId="60B946A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（三）承诺材料归档。承诺书作为项目申报材料和结题材料的组成部分，随项目材料一并归档保存。</w:t>
      </w:r>
    </w:p>
    <w:p w14:paraId="3BA83C43">
      <w:pPr>
        <w:keepNext w:val="0"/>
        <w:keepLines w:val="0"/>
        <w:pageBreakBefore w:val="0"/>
        <w:kinsoku/>
        <w:topLinePunct w:val="0"/>
        <w:autoSpaceDE/>
        <w:autoSpaceDN/>
        <w:bidi w:val="0"/>
        <w:snapToGrid w:val="0"/>
        <w:spacing w:line="360" w:lineRule="auto"/>
        <w:ind w:firstLine="632"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（四）失信处理。对依托单位和科研人员在项目资金管理使用过程中出现失信情况，纳入科研信用记录管理；对严重失信行为，按照《福建中医药大学科研诚信管理办法》实行追责和惩戒。</w:t>
      </w:r>
    </w:p>
    <w:p w14:paraId="551B0E71">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p>
    <w:p w14:paraId="70BFC643">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p>
    <w:p w14:paraId="78C93304">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bookmarkStart w:id="0" w:name="_GoBack"/>
      <w:bookmarkEnd w:id="0"/>
      <w:r>
        <w:rPr>
          <w:rFonts w:hint="default" w:ascii="Times New Roman" w:hAnsi="Times New Roman" w:eastAsia="黑体" w:cs="Times New Roman"/>
          <w:bCs/>
          <w:color w:val="000000"/>
          <w:highlight w:val="none"/>
        </w:rPr>
        <w:t>第十章  信息公开</w:t>
      </w:r>
    </w:p>
    <w:p w14:paraId="67B5A05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color w:val="000000"/>
          <w:highlight w:val="none"/>
        </w:rPr>
        <w:t xml:space="preserve">第四十三条 </w:t>
      </w:r>
      <w:r>
        <w:rPr>
          <w:rFonts w:hint="default" w:ascii="Times New Roman" w:hAnsi="Times New Roman" w:eastAsia="仿宋" w:cs="Times New Roman"/>
          <w:b w:val="0"/>
          <w:bCs/>
          <w:color w:val="000000"/>
          <w:highlight w:val="none"/>
        </w:rPr>
        <w:t>建立项目资金信息公开制度，接受内部监督。</w:t>
      </w:r>
    </w:p>
    <w:p w14:paraId="2D8DDB13">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一）公开范围。除涉密项目外，学校在单位内部公开以下信息：1.项目立项情况；2.主要研究人员；3.项目资金使用情况，重点是间接费用、外拨资金和结余资金使用情况；4.项目决算情况；5.大型仪器设备购置情况；6.项目研究成果情况。</w:t>
      </w:r>
    </w:p>
    <w:p w14:paraId="13DCCDCB">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（二）公开方式。通过学校科研管理信息系统、办公系统等内部渠道公开，必要时可在院（部）范围内以会议、公示等形式公开。</w:t>
      </w:r>
    </w:p>
    <w:p w14:paraId="65406DFC">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（三）公开时限。项目立项后、年度执行情况检查后、项目结题决算后，分别在30个工作日内完成信息公开。</w:t>
      </w:r>
    </w:p>
    <w:p w14:paraId="16AE81A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（四）不予公开情形。涉及国家秘密、工作秘密、商业秘密和知识产权保护等情形的项目信息，不予公开；确需公开的，应当履行审批程序。</w:t>
      </w:r>
    </w:p>
    <w:p w14:paraId="0261CCC1">
      <w:pPr>
        <w:keepNext w:val="0"/>
        <w:keepLines w:val="0"/>
        <w:pageBreakBefore w:val="0"/>
        <w:kinsoku/>
        <w:topLinePunct w:val="0"/>
        <w:autoSpaceDE/>
        <w:autoSpaceDN/>
        <w:bidi w:val="0"/>
        <w:snapToGrid w:val="0"/>
        <w:spacing w:line="360" w:lineRule="auto"/>
        <w:ind w:firstLine="632" w:firstLineChars="200"/>
        <w:jc w:val="left"/>
        <w:textAlignment w:val="auto"/>
        <w:rPr>
          <w:rFonts w:hint="default" w:ascii="Times New Roman" w:hAnsi="Times New Roman" w:eastAsia="黑体" w:cs="Times New Roman"/>
          <w:bCs/>
          <w:color w:val="000000"/>
          <w:highlight w:val="none"/>
        </w:rPr>
      </w:pPr>
      <w:r>
        <w:rPr>
          <w:rFonts w:hint="default" w:ascii="Times New Roman" w:hAnsi="Times New Roman" w:eastAsia="仿宋" w:cs="Times New Roman"/>
          <w:color w:val="000000"/>
          <w:highlight w:val="none"/>
        </w:rPr>
        <w:t>（五）异议处理。校内单位和个人对公开信息有异议的，可以向科学技术处提出，科学技术处应当会同财务处在10个工作日内予以答复。</w:t>
      </w:r>
    </w:p>
    <w:p w14:paraId="0E586525">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第十一章 自然科学类纵向项目经费的监督检查</w:t>
      </w:r>
    </w:p>
    <w:p w14:paraId="60268E65">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第四十四条 </w:t>
      </w:r>
      <w:r>
        <w:rPr>
          <w:rFonts w:hint="default" w:ascii="Times New Roman" w:hAnsi="Times New Roman" w:eastAsia="仿宋" w:cs="Times New Roman"/>
          <w:color w:val="000000"/>
          <w:highlight w:val="none"/>
        </w:rPr>
        <w:t>自然科学类纵向项目经费的使用需接受财务、审计及纪检监察部门的监督检查，对弄虚作假、截留、挪用、挤占科研经费等违反财经纪律的行为，依据《财政违法行为处罚处分条例》等国家有关法规进行相应处理，视情节轻重给予有关责任单位或个人行政处罚；构成违纪的，追究有关责任人的党纪政纪责任；涉嫌犯罪的，移送司法机关依法追究刑事责任。</w:t>
      </w:r>
    </w:p>
    <w:p w14:paraId="649EE0F4">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
          <w:color w:val="000000"/>
          <w:highlight w:val="none"/>
        </w:rPr>
      </w:pPr>
      <w:r>
        <w:rPr>
          <w:rFonts w:hint="default" w:ascii="Times New Roman" w:hAnsi="Times New Roman" w:eastAsia="仿宋" w:cs="Times New Roman"/>
          <w:b/>
          <w:color w:val="000000"/>
          <w:highlight w:val="none"/>
        </w:rPr>
        <w:t xml:space="preserve">第四十五条 </w:t>
      </w:r>
      <w:r>
        <w:rPr>
          <w:rFonts w:hint="default" w:ascii="Times New Roman" w:hAnsi="Times New Roman" w:eastAsia="仿宋" w:cs="Times New Roman"/>
          <w:b w:val="0"/>
          <w:bCs/>
          <w:color w:val="000000"/>
          <w:highlight w:val="none"/>
        </w:rPr>
        <w:t>项目承担单位、项目负责人等出现第二十六条（负面清单）有关情形的，应依照有关规定视情况轻重采取限期整改、暂停项目拨款、终止项目执行、收回项目结余经费、追回已拨经费、取消项目承担者一定期限内项目申报资格等措施，并按照《中华人民共和国预算法》《财政违法行为处罚处分条例》等有关规定追究责任。涉嫌犯罪的，依法移送有关机关处理。</w:t>
      </w:r>
    </w:p>
    <w:p w14:paraId="22697DFD">
      <w:pPr>
        <w:keepNext w:val="0"/>
        <w:keepLines w:val="0"/>
        <w:pageBreakBefore w:val="0"/>
        <w:kinsoku/>
        <w:topLinePunct w:val="0"/>
        <w:autoSpaceDE/>
        <w:autoSpaceDN/>
        <w:bidi w:val="0"/>
        <w:adjustRightInd w:val="0"/>
        <w:snapToGrid w:val="0"/>
        <w:spacing w:line="360" w:lineRule="auto"/>
        <w:jc w:val="center"/>
        <w:textAlignment w:val="auto"/>
        <w:rPr>
          <w:rFonts w:hint="default" w:ascii="Times New Roman" w:hAnsi="Times New Roman" w:eastAsia="黑体" w:cs="Times New Roman"/>
          <w:bCs/>
          <w:color w:val="000000"/>
          <w:highlight w:val="none"/>
        </w:rPr>
      </w:pPr>
    </w:p>
    <w:p w14:paraId="53EF06EC">
      <w:pPr>
        <w:keepNext w:val="0"/>
        <w:keepLines w:val="0"/>
        <w:pageBreakBefore w:val="0"/>
        <w:widowControl w:val="0"/>
        <w:kinsoku/>
        <w:wordWrap/>
        <w:overflowPunct/>
        <w:topLinePunct w:val="0"/>
        <w:autoSpaceDE/>
        <w:autoSpaceDN/>
        <w:bidi w:val="0"/>
        <w:adjustRightInd w:val="0"/>
        <w:snapToGrid w:val="0"/>
        <w:spacing w:before="292" w:beforeLines="50" w:after="292" w:afterLines="50" w:line="360" w:lineRule="auto"/>
        <w:jc w:val="center"/>
        <w:textAlignment w:val="auto"/>
        <w:rPr>
          <w:rFonts w:hint="default" w:ascii="Times New Roman" w:hAnsi="Times New Roman" w:eastAsia="黑体" w:cs="Times New Roman"/>
          <w:bCs/>
          <w:color w:val="000000"/>
          <w:highlight w:val="none"/>
        </w:rPr>
      </w:pPr>
      <w:r>
        <w:rPr>
          <w:rFonts w:hint="default" w:ascii="Times New Roman" w:hAnsi="Times New Roman" w:eastAsia="黑体" w:cs="Times New Roman"/>
          <w:bCs/>
          <w:color w:val="000000"/>
          <w:highlight w:val="none"/>
        </w:rPr>
        <w:t>第十二章 附 则</w:t>
      </w:r>
    </w:p>
    <w:p w14:paraId="68B1B43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Cs/>
          <w:color w:val="000000"/>
          <w:highlight w:val="none"/>
        </w:rPr>
      </w:pPr>
      <w:r>
        <w:rPr>
          <w:rFonts w:hint="default" w:ascii="Times New Roman" w:hAnsi="Times New Roman" w:eastAsia="仿宋" w:cs="Times New Roman"/>
          <w:b/>
          <w:color w:val="000000"/>
          <w:highlight w:val="none"/>
        </w:rPr>
        <w:t xml:space="preserve">第四十六条 </w:t>
      </w:r>
      <w:r>
        <w:rPr>
          <w:rFonts w:hint="default" w:ascii="Times New Roman" w:hAnsi="Times New Roman" w:eastAsia="仿宋" w:cs="Times New Roman"/>
          <w:b w:val="0"/>
          <w:bCs/>
          <w:color w:val="000000"/>
          <w:highlight w:val="none"/>
        </w:rPr>
        <w:t xml:space="preserve">学校通过对外开展科研活动取得的除纵向科研经费之外的其他所有科研项目经费，包括学校与其他企业事业单位所签订的技术开发、技术转让、技术咨询、技术服务等技术合同（协议）项目等，简称为横向经费。横向经费管理办法另行制定。 </w:t>
      </w:r>
    </w:p>
    <w:p w14:paraId="3742C1E9">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b/>
          <w:color w:val="000000"/>
          <w:highlight w:val="none"/>
        </w:rPr>
      </w:pPr>
      <w:r>
        <w:rPr>
          <w:rFonts w:hint="default" w:ascii="Times New Roman" w:hAnsi="Times New Roman" w:eastAsia="仿宋" w:cs="Times New Roman"/>
          <w:b/>
          <w:color w:val="000000"/>
          <w:highlight w:val="none"/>
        </w:rPr>
        <w:t xml:space="preserve">第四十七条 </w:t>
      </w:r>
      <w:r>
        <w:rPr>
          <w:rFonts w:hint="default" w:ascii="Times New Roman" w:hAnsi="Times New Roman" w:eastAsia="仿宋" w:cs="Times New Roman"/>
          <w:b w:val="0"/>
          <w:bCs/>
          <w:color w:val="000000"/>
          <w:highlight w:val="none"/>
        </w:rPr>
        <w:t>专家咨询、论证、评审等专家咨询费用标准，项目相关专项有明确规定专家咨询费标准的，按相关专项规定标准执行，相关专项没有明确规定标准的，按照本办法第二十五条相关规定执行。教学、学科建设等各类项目的专家咨询费标准参照本办法执行。原《福建中医药大学教学科研劳务费发放管理办法（暂行）》（校办〔2017〕23号）第二条第（二）款“专家咨询、论证、评审费”规定不再执行。</w:t>
      </w:r>
    </w:p>
    <w:p w14:paraId="4BCC675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第四十八条 </w:t>
      </w:r>
      <w:r>
        <w:rPr>
          <w:rFonts w:hint="default" w:ascii="Times New Roman" w:hAnsi="Times New Roman" w:eastAsia="仿宋" w:cs="Times New Roman"/>
          <w:b w:val="0"/>
          <w:bCs/>
          <w:color w:val="000000"/>
          <w:highlight w:val="none"/>
        </w:rPr>
        <w:t>本办法由科学技术处和财务处负责解释。</w:t>
      </w:r>
    </w:p>
    <w:p w14:paraId="12BC1EA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b/>
          <w:color w:val="000000"/>
          <w:highlight w:val="none"/>
        </w:rPr>
        <w:t xml:space="preserve">第四十九条 </w:t>
      </w:r>
      <w:r>
        <w:rPr>
          <w:rFonts w:hint="default" w:ascii="Times New Roman" w:hAnsi="Times New Roman" w:eastAsia="仿宋" w:cs="Times New Roman"/>
          <w:b w:val="0"/>
          <w:bCs/>
          <w:color w:val="000000"/>
          <w:highlight w:val="none"/>
        </w:rPr>
        <w:t>本办法自发布之日起施行。此前发布的《福建中医药大学科技计划项目经费管理办法（修订）》 （闽中医办〔2023〕012号）同时废止。</w:t>
      </w:r>
    </w:p>
    <w:p w14:paraId="3270BB51">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p>
    <w:p w14:paraId="7745CCBF">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附件：1.福建中医药大学科研项目研究经费转拨合同</w:t>
      </w:r>
    </w:p>
    <w:p w14:paraId="4AFE4C8F">
      <w:pPr>
        <w:keepNext w:val="0"/>
        <w:keepLines w:val="0"/>
        <w:pageBreakBefore w:val="0"/>
        <w:kinsoku/>
        <w:topLinePunct w:val="0"/>
        <w:autoSpaceDE/>
        <w:autoSpaceDN/>
        <w:bidi w:val="0"/>
        <w:snapToGrid w:val="0"/>
        <w:spacing w:line="360" w:lineRule="auto"/>
        <w:ind w:firstLine="1580" w:firstLineChars="5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2.福建中医药大学学术论文版面费报销审批表</w:t>
      </w:r>
    </w:p>
    <w:p w14:paraId="7A699E2B">
      <w:pPr>
        <w:keepNext w:val="0"/>
        <w:keepLines w:val="0"/>
        <w:pageBreakBefore w:val="0"/>
        <w:kinsoku/>
        <w:topLinePunct w:val="0"/>
        <w:autoSpaceDE/>
        <w:autoSpaceDN/>
        <w:bidi w:val="0"/>
        <w:snapToGrid w:val="0"/>
        <w:spacing w:line="360" w:lineRule="auto"/>
        <w:ind w:firstLine="1580" w:firstLineChars="5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3.专利权人说明</w:t>
      </w:r>
    </w:p>
    <w:p w14:paraId="7502BB20">
      <w:pPr>
        <w:keepNext w:val="0"/>
        <w:keepLines w:val="0"/>
        <w:pageBreakBefore w:val="0"/>
        <w:kinsoku/>
        <w:topLinePunct w:val="0"/>
        <w:autoSpaceDE/>
        <w:autoSpaceDN/>
        <w:bidi w:val="0"/>
        <w:snapToGrid w:val="0"/>
        <w:spacing w:line="360" w:lineRule="auto"/>
        <w:ind w:firstLine="1580" w:firstLineChars="5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4.专家论证意见表</w:t>
      </w:r>
    </w:p>
    <w:p w14:paraId="30C30617">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pPr>
    </w:p>
    <w:p w14:paraId="03C906EE">
      <w:pPr>
        <w:keepNext w:val="0"/>
        <w:keepLines w:val="0"/>
        <w:pageBreakBefore w:val="0"/>
        <w:kinsoku/>
        <w:topLinePunct w:val="0"/>
        <w:autoSpaceDE/>
        <w:autoSpaceDN/>
        <w:bidi w:val="0"/>
        <w:snapToGrid w:val="0"/>
        <w:spacing w:line="360" w:lineRule="auto"/>
        <w:ind w:firstLine="632" w:firstLineChars="200"/>
        <w:textAlignment w:val="auto"/>
        <w:rPr>
          <w:rFonts w:hint="default" w:ascii="Times New Roman" w:hAnsi="Times New Roman" w:eastAsia="仿宋" w:cs="Times New Roman"/>
          <w:color w:val="000000"/>
          <w:highlight w:val="none"/>
        </w:rPr>
        <w:sectPr>
          <w:headerReference r:id="rId3" w:type="default"/>
          <w:footerReference r:id="rId4" w:type="default"/>
          <w:footerReference r:id="rId5" w:type="even"/>
          <w:pgSz w:w="11907" w:h="16840"/>
          <w:pgMar w:top="2098" w:right="1474" w:bottom="1985" w:left="1588" w:header="851" w:footer="992" w:gutter="0"/>
          <w:cols w:space="720" w:num="1"/>
          <w:docGrid w:type="linesAndChars" w:linePitch="579" w:charSpace="-842"/>
        </w:sectPr>
      </w:pPr>
    </w:p>
    <w:p w14:paraId="58D9FC7D">
      <w:pPr>
        <w:keepNext w:val="0"/>
        <w:keepLines w:val="0"/>
        <w:pageBreakBefore w:val="0"/>
        <w:shd w:val="clear" w:color="auto" w:fill="FFFFFF"/>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t>附件1</w:t>
      </w:r>
    </w:p>
    <w:p w14:paraId="35CC4D70">
      <w:pPr>
        <w:keepNext w:val="0"/>
        <w:keepLines w:val="0"/>
        <w:pageBreakBefore w:val="0"/>
        <w:kinsoku/>
        <w:topLinePunct w:val="0"/>
        <w:autoSpaceDE/>
        <w:autoSpaceDN/>
        <w:bidi w:val="0"/>
        <w:spacing w:line="360" w:lineRule="auto"/>
        <w:jc w:val="left"/>
        <w:textAlignment w:val="auto"/>
        <w:rPr>
          <w:rFonts w:hint="default" w:ascii="Times New Roman" w:hAnsi="Times New Roman"/>
          <w:b/>
          <w:sz w:val="44"/>
          <w:szCs w:val="44"/>
          <w:highlight w:val="none"/>
        </w:rPr>
      </w:pPr>
    </w:p>
    <w:p w14:paraId="7DA8ABA0">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福建中医药大学科研项目</w:t>
      </w:r>
    </w:p>
    <w:p w14:paraId="6739C9FB">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研究经费转拨合同</w:t>
      </w:r>
    </w:p>
    <w:p w14:paraId="1E225E8B">
      <w:pPr>
        <w:keepNext w:val="0"/>
        <w:keepLines w:val="0"/>
        <w:pageBreakBefore w:val="0"/>
        <w:kinsoku/>
        <w:topLinePunct w:val="0"/>
        <w:autoSpaceDE/>
        <w:autoSpaceDN/>
        <w:bidi w:val="0"/>
        <w:spacing w:line="360" w:lineRule="auto"/>
        <w:textAlignment w:val="auto"/>
        <w:rPr>
          <w:rFonts w:hint="default" w:ascii="Times New Roman" w:hAnsi="Times New Roman" w:eastAsia="仿宋"/>
          <w:highlight w:val="none"/>
        </w:rPr>
      </w:pPr>
    </w:p>
    <w:p w14:paraId="35F64D21">
      <w:pPr>
        <w:keepNext w:val="0"/>
        <w:keepLines w:val="0"/>
        <w:pageBreakBefore w:val="0"/>
        <w:kinsoku/>
        <w:topLinePunct w:val="0"/>
        <w:autoSpaceDE/>
        <w:autoSpaceDN/>
        <w:bidi w:val="0"/>
        <w:snapToGrid w:val="0"/>
        <w:spacing w:line="360" w:lineRule="auto"/>
        <w:textAlignment w:val="auto"/>
        <w:rPr>
          <w:rFonts w:hint="default" w:ascii="Times New Roman" w:hAnsi="Times New Roman" w:eastAsia="仿宋" w:cs="Times New Roman"/>
          <w:b/>
          <w:bCs/>
          <w:color w:val="000000"/>
          <w:highlight w:val="none"/>
        </w:rPr>
      </w:pPr>
      <w:r>
        <w:rPr>
          <w:rFonts w:hint="default" w:ascii="Times New Roman" w:hAnsi="Times New Roman" w:eastAsia="仿宋" w:cs="Times New Roman"/>
          <w:b/>
          <w:bCs/>
          <w:color w:val="000000"/>
          <w:highlight w:val="none"/>
        </w:rPr>
        <w:t>甲方：福建中医药大学</w:t>
      </w:r>
    </w:p>
    <w:p w14:paraId="5B890552">
      <w:pPr>
        <w:keepNext w:val="0"/>
        <w:keepLines w:val="0"/>
        <w:pageBreakBefore w:val="0"/>
        <w:kinsoku/>
        <w:topLinePunct w:val="0"/>
        <w:autoSpaceDE/>
        <w:autoSpaceDN/>
        <w:bidi w:val="0"/>
        <w:snapToGrid w:val="0"/>
        <w:spacing w:line="360" w:lineRule="auto"/>
        <w:textAlignment w:val="auto"/>
        <w:rPr>
          <w:rFonts w:hint="default" w:ascii="Times New Roman" w:hAnsi="Times New Roman" w:eastAsia="仿宋" w:cs="Times New Roman"/>
          <w:b/>
          <w:bCs/>
          <w:color w:val="000000"/>
          <w:highlight w:val="none"/>
        </w:rPr>
      </w:pPr>
      <w:r>
        <w:rPr>
          <w:rFonts w:hint="default" w:ascii="Times New Roman" w:hAnsi="Times New Roman" w:eastAsia="仿宋" w:cs="Times New Roman"/>
          <w:b/>
          <w:bCs/>
          <w:color w:val="000000"/>
          <w:highlight w:val="none"/>
        </w:rPr>
        <w:t>乙方：</w:t>
      </w:r>
    </w:p>
    <w:p w14:paraId="676DEB9F">
      <w:pPr>
        <w:keepNext w:val="0"/>
        <w:keepLines w:val="0"/>
        <w:pageBreakBefore w:val="0"/>
        <w:kinsoku/>
        <w:topLinePunct w:val="0"/>
        <w:autoSpaceDE/>
        <w:autoSpaceDN/>
        <w:bidi w:val="0"/>
        <w:snapToGrid w:val="0"/>
        <w:spacing w:line="360" w:lineRule="auto"/>
        <w:textAlignment w:val="auto"/>
        <w:rPr>
          <w:rFonts w:hint="default" w:ascii="Times New Roman" w:hAnsi="Times New Roman" w:eastAsia="仿宋" w:cs="Times New Roman"/>
          <w:b/>
          <w:bCs/>
          <w:color w:val="000000"/>
          <w:highlight w:val="none"/>
        </w:rPr>
      </w:pPr>
      <w:r>
        <w:rPr>
          <w:rFonts w:hint="default" w:ascii="Times New Roman" w:hAnsi="Times New Roman" w:eastAsia="仿宋" w:cs="Times New Roman"/>
          <w:b/>
          <w:bCs/>
          <w:color w:val="000000"/>
          <w:highlight w:val="none"/>
        </w:rPr>
        <w:t xml:space="preserve">丙方（项目负责人）： </w:t>
      </w:r>
    </w:p>
    <w:p w14:paraId="699D334D">
      <w:pPr>
        <w:keepNext w:val="0"/>
        <w:keepLines w:val="0"/>
        <w:pageBreakBefore w:val="0"/>
        <w:kinsoku/>
        <w:topLinePunct w:val="0"/>
        <w:autoSpaceDE/>
        <w:autoSpaceDN/>
        <w:bidi w:val="0"/>
        <w:spacing w:line="360" w:lineRule="auto"/>
        <w:textAlignment w:val="auto"/>
        <w:rPr>
          <w:rFonts w:hint="default" w:ascii="Times New Roman" w:hAnsi="Times New Roman" w:eastAsia="仿宋"/>
          <w:highlight w:val="none"/>
        </w:rPr>
      </w:pPr>
    </w:p>
    <w:p w14:paraId="7DCC15ED">
      <w:pPr>
        <w:keepNext w:val="0"/>
        <w:keepLines w:val="0"/>
        <w:pageBreakBefore w:val="0"/>
        <w:kinsoku/>
        <w:topLinePunct w:val="0"/>
        <w:autoSpaceDE/>
        <w:autoSpaceDN/>
        <w:bidi w:val="0"/>
        <w:snapToGrid w:val="0"/>
        <w:spacing w:line="360" w:lineRule="auto"/>
        <w:ind w:firstLine="640" w:firstLineChars="200"/>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为了更有效地管理和使用科研项目研究经费，保证研究任务的顺利完成。现就下列科研项目研究经费的转拨与使用管理达成如下协议：</w:t>
      </w:r>
    </w:p>
    <w:p w14:paraId="67E294F6">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 xml:space="preserve">经费来源：                                      </w:t>
      </w:r>
    </w:p>
    <w:p w14:paraId="20E24F37">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 xml:space="preserve">项目名称：                                      </w:t>
      </w:r>
    </w:p>
    <w:p w14:paraId="17F57549">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 xml:space="preserve">项目编号：            项目负责人：               </w:t>
      </w:r>
    </w:p>
    <w:p w14:paraId="7A795949">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经费总额（大写）：                     （￥：      ）</w:t>
      </w:r>
    </w:p>
    <w:p w14:paraId="73F4BD32">
      <w:pPr>
        <w:keepNext w:val="0"/>
        <w:keepLines w:val="0"/>
        <w:pageBreakBefore w:val="0"/>
        <w:kinsoku/>
        <w:topLinePunct w:val="0"/>
        <w:autoSpaceDE/>
        <w:autoSpaceDN/>
        <w:bidi w:val="0"/>
        <w:snapToGrid w:val="0"/>
        <w:spacing w:line="360" w:lineRule="auto"/>
        <w:ind w:firstLine="643" w:firstLineChars="200"/>
        <w:jc w:val="left"/>
        <w:textAlignment w:val="auto"/>
        <w:rPr>
          <w:rFonts w:hint="default" w:ascii="Times New Roman" w:hAnsi="Times New Roman" w:eastAsia="仿宋" w:cs="Times New Roman"/>
          <w:b/>
          <w:bCs/>
          <w:color w:val="000000"/>
          <w:highlight w:val="none"/>
        </w:rPr>
      </w:pPr>
      <w:r>
        <w:rPr>
          <w:rFonts w:hint="default" w:ascii="Times New Roman" w:hAnsi="Times New Roman" w:eastAsia="仿宋" w:cs="Times New Roman"/>
          <w:b/>
          <w:bCs/>
          <w:color w:val="000000"/>
          <w:highlight w:val="none"/>
        </w:rPr>
        <w:t>第一条 经费转拨</w:t>
      </w:r>
    </w:p>
    <w:p w14:paraId="1710F507">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1.甲方将项目经费总额扣除预留购置固定资产金额与项目管理费后，转拨给乙方，按照项目任务书及项目预算使用管理。</w:t>
      </w:r>
    </w:p>
    <w:p w14:paraId="2B52B53B">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b/>
          <w:highlight w:val="none"/>
        </w:rPr>
      </w:pPr>
      <w:r>
        <w:rPr>
          <w:rFonts w:hint="default" w:ascii="Times New Roman" w:hAnsi="Times New Roman" w:eastAsia="仿宋" w:cs="Times New Roman"/>
          <w:color w:val="000000"/>
          <w:highlight w:val="none"/>
        </w:rPr>
        <w:t>2.根据项目进展情况，由甲方一次或分期转拨给乙方，本次转拨金额（大写）：                     （￥：      ）</w:t>
      </w:r>
    </w:p>
    <w:p w14:paraId="0086F642">
      <w:pPr>
        <w:keepNext w:val="0"/>
        <w:keepLines w:val="0"/>
        <w:pageBreakBefore w:val="0"/>
        <w:kinsoku/>
        <w:topLinePunct w:val="0"/>
        <w:autoSpaceDE/>
        <w:autoSpaceDN/>
        <w:bidi w:val="0"/>
        <w:spacing w:line="360" w:lineRule="auto"/>
        <w:ind w:firstLine="576"/>
        <w:textAlignment w:val="auto"/>
        <w:rPr>
          <w:rFonts w:hint="default" w:ascii="Times New Roman" w:hAnsi="Times New Roman" w:eastAsia="仿宋"/>
          <w:b/>
          <w:highlight w:val="none"/>
        </w:rPr>
      </w:pPr>
      <w:r>
        <w:rPr>
          <w:rFonts w:hint="default" w:ascii="Times New Roman" w:hAnsi="Times New Roman" w:eastAsia="仿宋"/>
          <w:b/>
          <w:highlight w:val="none"/>
        </w:rPr>
        <w:t>第二条 经费使用</w:t>
      </w:r>
    </w:p>
    <w:p w14:paraId="213A6CCB">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1.丙方在项目执行过程中应遵守国家、省、学校及本医院（单位）科研经费管理有关规定，严格执行项目预算，不得层层转拨、变相转拨经费，不得借科研协作之名，将科研经费挪作他用。</w:t>
      </w:r>
    </w:p>
    <w:p w14:paraId="3EB0D31F">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丙方使用科研经费购置与形成的固定和无形资产均属于甲方国有资产，应按照甲方有关规定执行，统一纳入甲方资产管理。不得以任何方式隐匿、私自转让、非法占有或谋取私利，其处置应按照国家有关规定办理。</w:t>
      </w:r>
    </w:p>
    <w:p w14:paraId="57C9A822">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3.乙方应严格执行国家、省、学校及本医院（单位）科研经费管理的有关规定，对经费的使用进行管理和监督，不得违反国家科研经费管理政策支出，并对经费检查或审计中发现的问题承担相应的管理责任。</w:t>
      </w:r>
    </w:p>
    <w:p w14:paraId="21E0C999">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4.甲方有权对乙方经费使用情况进行检查和抽查，乙方应当配合并按要求提供经费支出明细及相关凭证。乙方不得列支与本项目任务无关的支出；违反约定的，甲方有权暂停或者终止转拨、追回已转拨资金，并依照本合同约定追究违约责任。</w:t>
      </w:r>
    </w:p>
    <w:p w14:paraId="1E44C3EC">
      <w:pPr>
        <w:keepNext w:val="0"/>
        <w:keepLines w:val="0"/>
        <w:pageBreakBefore w:val="0"/>
        <w:kinsoku/>
        <w:topLinePunct w:val="0"/>
        <w:autoSpaceDE/>
        <w:autoSpaceDN/>
        <w:bidi w:val="0"/>
        <w:spacing w:line="360" w:lineRule="auto"/>
        <w:ind w:firstLine="576"/>
        <w:textAlignment w:val="auto"/>
        <w:rPr>
          <w:rFonts w:hint="default" w:ascii="Times New Roman" w:hAnsi="Times New Roman" w:eastAsia="仿宋"/>
          <w:b/>
          <w:highlight w:val="none"/>
        </w:rPr>
      </w:pPr>
      <w:r>
        <w:rPr>
          <w:rFonts w:hint="default" w:ascii="Times New Roman" w:hAnsi="Times New Roman" w:eastAsia="仿宋"/>
          <w:b/>
          <w:highlight w:val="none"/>
        </w:rPr>
        <w:t>第三条 结题结账</w:t>
      </w:r>
    </w:p>
    <w:p w14:paraId="106237C7">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乙、丙方应遵守项目计划任务书/合同书，按时结题并及时进行经费决算。项目结余经费的使用按照我校科研经费管理办法有关规定执行。</w:t>
      </w:r>
    </w:p>
    <w:p w14:paraId="00EFC349">
      <w:pPr>
        <w:keepNext w:val="0"/>
        <w:keepLines w:val="0"/>
        <w:pageBreakBefore w:val="0"/>
        <w:kinsoku/>
        <w:topLinePunct w:val="0"/>
        <w:autoSpaceDE/>
        <w:autoSpaceDN/>
        <w:bidi w:val="0"/>
        <w:spacing w:line="360" w:lineRule="auto"/>
        <w:ind w:firstLine="576"/>
        <w:textAlignment w:val="auto"/>
        <w:rPr>
          <w:rFonts w:hint="default" w:ascii="Times New Roman" w:hAnsi="Times New Roman" w:eastAsia="仿宋"/>
          <w:b/>
          <w:highlight w:val="none"/>
        </w:rPr>
      </w:pPr>
      <w:r>
        <w:rPr>
          <w:rFonts w:hint="default" w:ascii="Times New Roman" w:hAnsi="Times New Roman" w:eastAsia="仿宋"/>
          <w:b/>
          <w:highlight w:val="none"/>
        </w:rPr>
        <w:t>第四条 其他</w:t>
      </w:r>
    </w:p>
    <w:p w14:paraId="0195D181">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1.本合同经三方签字盖章后生效，本合同一式四份，甲方二份，乙、丙方各一份，具有同等法律效力。</w:t>
      </w:r>
    </w:p>
    <w:p w14:paraId="1211C122">
      <w:pPr>
        <w:keepNext w:val="0"/>
        <w:keepLines w:val="0"/>
        <w:pageBreakBefore w:val="0"/>
        <w:kinsoku/>
        <w:topLinePunct w:val="0"/>
        <w:autoSpaceDE/>
        <w:autoSpaceDN/>
        <w:bidi w:val="0"/>
        <w:snapToGrid w:val="0"/>
        <w:spacing w:line="360" w:lineRule="auto"/>
        <w:ind w:firstLine="640" w:firstLineChars="200"/>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2.项目结题验收后，本协议终止。</w:t>
      </w:r>
    </w:p>
    <w:p w14:paraId="767D2B45">
      <w:pPr>
        <w:keepNext w:val="0"/>
        <w:keepLines w:val="0"/>
        <w:pageBreakBefore w:val="0"/>
        <w:kinsoku/>
        <w:topLinePunct w:val="0"/>
        <w:autoSpaceDE/>
        <w:autoSpaceDN/>
        <w:bidi w:val="0"/>
        <w:spacing w:line="360" w:lineRule="auto"/>
        <w:textAlignment w:val="auto"/>
        <w:rPr>
          <w:rFonts w:hint="default" w:ascii="Times New Roman" w:hAnsi="Times New Roman" w:eastAsia="仿宋"/>
          <w:highlight w:val="none"/>
        </w:rPr>
      </w:pPr>
    </w:p>
    <w:p w14:paraId="55B99DE0">
      <w:pPr>
        <w:keepNext w:val="0"/>
        <w:keepLines w:val="0"/>
        <w:pageBreakBefore w:val="0"/>
        <w:kinsoku/>
        <w:topLinePunct w:val="0"/>
        <w:autoSpaceDE/>
        <w:autoSpaceDN/>
        <w:bidi w:val="0"/>
        <w:spacing w:line="360" w:lineRule="auto"/>
        <w:textAlignment w:val="auto"/>
        <w:rPr>
          <w:rFonts w:hint="default" w:ascii="Times New Roman" w:hAnsi="Times New Roman" w:eastAsia="仿宋"/>
          <w:b/>
          <w:highlight w:val="none"/>
        </w:rPr>
      </w:pPr>
      <w:r>
        <w:rPr>
          <w:rFonts w:hint="default" w:ascii="Times New Roman" w:hAnsi="Times New Roman" w:eastAsia="仿宋"/>
          <w:b/>
          <w:highlight w:val="none"/>
        </w:rPr>
        <w:t>甲方单位（盖章）：             乙方单位（盖章）：</w:t>
      </w:r>
    </w:p>
    <w:p w14:paraId="086C708F">
      <w:pPr>
        <w:keepNext w:val="0"/>
        <w:keepLines w:val="0"/>
        <w:pageBreakBefore w:val="0"/>
        <w:kinsoku/>
        <w:topLinePunct w:val="0"/>
        <w:autoSpaceDE/>
        <w:autoSpaceDN/>
        <w:bidi w:val="0"/>
        <w:spacing w:line="360" w:lineRule="auto"/>
        <w:textAlignment w:val="auto"/>
        <w:rPr>
          <w:rFonts w:hint="default" w:ascii="Times New Roman" w:hAnsi="Times New Roman" w:eastAsia="仿宋"/>
          <w:b/>
          <w:highlight w:val="none"/>
        </w:rPr>
      </w:pPr>
      <w:r>
        <w:rPr>
          <w:rFonts w:hint="default" w:ascii="Times New Roman" w:hAnsi="Times New Roman" w:eastAsia="仿宋"/>
          <w:b/>
          <w:highlight w:val="none"/>
        </w:rPr>
        <w:t>甲方负责人（签章）：           乙方负责人（签章）：</w:t>
      </w:r>
    </w:p>
    <w:p w14:paraId="1932BA06">
      <w:pPr>
        <w:keepNext w:val="0"/>
        <w:keepLines w:val="0"/>
        <w:pageBreakBefore w:val="0"/>
        <w:kinsoku/>
        <w:topLinePunct w:val="0"/>
        <w:autoSpaceDE/>
        <w:autoSpaceDN/>
        <w:bidi w:val="0"/>
        <w:spacing w:line="360" w:lineRule="auto"/>
        <w:textAlignment w:val="auto"/>
        <w:rPr>
          <w:rFonts w:hint="default" w:ascii="Times New Roman" w:hAnsi="Times New Roman" w:eastAsia="仿宋"/>
          <w:b/>
          <w:highlight w:val="none"/>
        </w:rPr>
      </w:pPr>
      <w:r>
        <w:rPr>
          <w:rFonts w:hint="default" w:ascii="Times New Roman" w:hAnsi="Times New Roman" w:eastAsia="仿宋"/>
          <w:b/>
          <w:highlight w:val="none"/>
        </w:rPr>
        <w:t xml:space="preserve">        年   月   日                   年  月   日</w:t>
      </w:r>
    </w:p>
    <w:p w14:paraId="6B72959F">
      <w:pPr>
        <w:keepNext w:val="0"/>
        <w:keepLines w:val="0"/>
        <w:pageBreakBefore w:val="0"/>
        <w:kinsoku/>
        <w:topLinePunct w:val="0"/>
        <w:autoSpaceDE/>
        <w:autoSpaceDN/>
        <w:bidi w:val="0"/>
        <w:spacing w:line="360" w:lineRule="auto"/>
        <w:textAlignment w:val="auto"/>
        <w:rPr>
          <w:rFonts w:hint="default" w:ascii="Times New Roman" w:hAnsi="Times New Roman" w:eastAsia="仿宋"/>
          <w:b/>
          <w:highlight w:val="none"/>
        </w:rPr>
      </w:pPr>
    </w:p>
    <w:p w14:paraId="2C62FB46">
      <w:pPr>
        <w:keepNext w:val="0"/>
        <w:keepLines w:val="0"/>
        <w:pageBreakBefore w:val="0"/>
        <w:kinsoku/>
        <w:topLinePunct w:val="0"/>
        <w:autoSpaceDE/>
        <w:autoSpaceDN/>
        <w:bidi w:val="0"/>
        <w:spacing w:line="360" w:lineRule="auto"/>
        <w:textAlignment w:val="auto"/>
        <w:rPr>
          <w:rFonts w:hint="default" w:ascii="Times New Roman" w:hAnsi="Times New Roman" w:eastAsia="仿宋"/>
          <w:b/>
          <w:highlight w:val="none"/>
        </w:rPr>
      </w:pPr>
      <w:r>
        <w:rPr>
          <w:rFonts w:hint="default" w:ascii="Times New Roman" w:hAnsi="Times New Roman" w:eastAsia="仿宋"/>
          <w:b/>
          <w:highlight w:val="none"/>
        </w:rPr>
        <w:t>丙方（项目负责人）签字：                年   月   日</w:t>
      </w:r>
    </w:p>
    <w:p w14:paraId="048B8B34">
      <w:pPr>
        <w:keepNext w:val="0"/>
        <w:keepLines w:val="0"/>
        <w:pageBreakBefore w:val="0"/>
        <w:kinsoku/>
        <w:topLinePunct w:val="0"/>
        <w:autoSpaceDE/>
        <w:autoSpaceDN/>
        <w:bidi w:val="0"/>
        <w:spacing w:line="360" w:lineRule="auto"/>
        <w:textAlignment w:val="auto"/>
        <w:rPr>
          <w:rFonts w:hint="default" w:ascii="Times New Roman" w:hAnsi="Times New Roman" w:eastAsia="仿宋"/>
          <w:highlight w:val="none"/>
        </w:rPr>
      </w:pPr>
    </w:p>
    <w:p w14:paraId="77073156">
      <w:pPr>
        <w:keepNext w:val="0"/>
        <w:keepLines w:val="0"/>
        <w:pageBreakBefore w:val="0"/>
        <w:kinsoku/>
        <w:topLinePunct w:val="0"/>
        <w:autoSpaceDE/>
        <w:autoSpaceDN/>
        <w:bidi w:val="0"/>
        <w:snapToGrid w:val="0"/>
        <w:spacing w:line="360" w:lineRule="auto"/>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乙方单位银行账户信息：</w:t>
      </w:r>
    </w:p>
    <w:p w14:paraId="18EDC9A7">
      <w:pPr>
        <w:keepNext w:val="0"/>
        <w:keepLines w:val="0"/>
        <w:pageBreakBefore w:val="0"/>
        <w:kinsoku/>
        <w:topLinePunct w:val="0"/>
        <w:autoSpaceDE/>
        <w:autoSpaceDN/>
        <w:bidi w:val="0"/>
        <w:snapToGrid w:val="0"/>
        <w:spacing w:line="360" w:lineRule="auto"/>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开户名称：</w:t>
      </w:r>
    </w:p>
    <w:p w14:paraId="55DAAC5A">
      <w:pPr>
        <w:keepNext w:val="0"/>
        <w:keepLines w:val="0"/>
        <w:pageBreakBefore w:val="0"/>
        <w:kinsoku/>
        <w:topLinePunct w:val="0"/>
        <w:autoSpaceDE/>
        <w:autoSpaceDN/>
        <w:bidi w:val="0"/>
        <w:snapToGrid w:val="0"/>
        <w:spacing w:line="360" w:lineRule="auto"/>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开户银行：</w:t>
      </w:r>
    </w:p>
    <w:p w14:paraId="01A8E9C1">
      <w:pPr>
        <w:keepNext w:val="0"/>
        <w:keepLines w:val="0"/>
        <w:pageBreakBefore w:val="0"/>
        <w:kinsoku/>
        <w:topLinePunct w:val="0"/>
        <w:autoSpaceDE/>
        <w:autoSpaceDN/>
        <w:bidi w:val="0"/>
        <w:snapToGrid w:val="0"/>
        <w:spacing w:line="360" w:lineRule="auto"/>
        <w:jc w:val="left"/>
        <w:textAlignment w:val="auto"/>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银行账号：</w:t>
      </w:r>
    </w:p>
    <w:p w14:paraId="60149293">
      <w:pPr>
        <w:keepNext w:val="0"/>
        <w:keepLines w:val="0"/>
        <w:pageBreakBefore w:val="0"/>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br w:type="page"/>
      </w:r>
    </w:p>
    <w:p w14:paraId="673CCE5C">
      <w:pPr>
        <w:keepNext w:val="0"/>
        <w:keepLines w:val="0"/>
        <w:pageBreakBefore w:val="0"/>
        <w:shd w:val="clear" w:color="auto" w:fill="FFFFFF"/>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t>附件2</w:t>
      </w:r>
    </w:p>
    <w:p w14:paraId="0D3E1BFB">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福建中医药大学学术论文版面费</w:t>
      </w:r>
    </w:p>
    <w:p w14:paraId="57D8F834">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报销审批表（202</w:t>
      </w:r>
      <w:r>
        <w:rPr>
          <w:rFonts w:hint="default" w:ascii="Times New Roman" w:hAnsi="Times New Roman" w:cs="Times New Roman"/>
          <w:b/>
          <w:color w:val="000000"/>
          <w:kern w:val="44"/>
          <w:sz w:val="44"/>
          <w:szCs w:val="44"/>
          <w:highlight w:val="none"/>
        </w:rPr>
        <w:t>6</w:t>
      </w:r>
      <w:r>
        <w:rPr>
          <w:rFonts w:hint="default" w:ascii="Times New Roman" w:hAnsi="Times New Roman" w:cs="Times New Roman"/>
          <w:b/>
          <w:color w:val="000000"/>
          <w:kern w:val="44"/>
          <w:sz w:val="44"/>
          <w:szCs w:val="44"/>
          <w:highlight w:val="none"/>
          <w:lang w:val="zh-CN"/>
        </w:rPr>
        <w:t>版）</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1453"/>
        <w:gridCol w:w="2447"/>
        <w:gridCol w:w="994"/>
        <w:gridCol w:w="774"/>
        <w:gridCol w:w="805"/>
        <w:gridCol w:w="1951"/>
      </w:tblGrid>
      <w:tr w14:paraId="79BD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3D4D6004">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作者姓名</w:t>
            </w:r>
          </w:p>
        </w:tc>
        <w:tc>
          <w:tcPr>
            <w:tcW w:w="3900" w:type="dxa"/>
            <w:gridSpan w:val="2"/>
            <w:tcBorders>
              <w:top w:val="single" w:color="auto" w:sz="4" w:space="0"/>
              <w:left w:val="single" w:color="auto" w:sz="4" w:space="0"/>
              <w:bottom w:val="single" w:color="auto" w:sz="4" w:space="0"/>
              <w:right w:val="single" w:color="auto" w:sz="4" w:space="0"/>
            </w:tcBorders>
            <w:noWrap/>
            <w:vAlign w:val="center"/>
          </w:tcPr>
          <w:p w14:paraId="2B6C42D4">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c>
          <w:tcPr>
            <w:tcW w:w="1768" w:type="dxa"/>
            <w:gridSpan w:val="2"/>
            <w:tcBorders>
              <w:top w:val="single" w:color="auto" w:sz="4" w:space="0"/>
              <w:left w:val="single" w:color="auto" w:sz="4" w:space="0"/>
              <w:bottom w:val="single" w:color="auto" w:sz="4" w:space="0"/>
              <w:right w:val="single" w:color="auto" w:sz="4" w:space="0"/>
            </w:tcBorders>
            <w:noWrap/>
            <w:vAlign w:val="center"/>
          </w:tcPr>
          <w:p w14:paraId="71F6626F">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4"/>
                <w:szCs w:val="20"/>
                <w:highlight w:val="none"/>
              </w:rPr>
            </w:pPr>
            <w:r>
              <w:rPr>
                <w:rFonts w:hint="default" w:ascii="Times New Roman" w:hAnsi="Times New Roman" w:eastAsia="仿宋"/>
                <w:b/>
                <w:sz w:val="24"/>
                <w:szCs w:val="20"/>
                <w:highlight w:val="none"/>
              </w:rPr>
              <w:t>工号</w:t>
            </w:r>
          </w:p>
        </w:tc>
        <w:tc>
          <w:tcPr>
            <w:tcW w:w="2756" w:type="dxa"/>
            <w:gridSpan w:val="2"/>
            <w:tcBorders>
              <w:top w:val="single" w:color="auto" w:sz="4" w:space="0"/>
              <w:left w:val="single" w:color="auto" w:sz="4" w:space="0"/>
              <w:bottom w:val="single" w:color="auto" w:sz="4" w:space="0"/>
              <w:right w:val="single" w:color="auto" w:sz="4" w:space="0"/>
            </w:tcBorders>
            <w:noWrap/>
            <w:vAlign w:val="center"/>
          </w:tcPr>
          <w:p w14:paraId="54600668">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r>
      <w:tr w14:paraId="55AA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20C04236">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所在单位</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0BDC803A">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r>
      <w:tr w14:paraId="7E04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54620AA9">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论文标题</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5349F7C9">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r>
      <w:tr w14:paraId="6E02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01C3B4E6">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r>
              <w:rPr>
                <w:rFonts w:hint="default" w:ascii="Times New Roman" w:hAnsi="Times New Roman" w:eastAsia="仿宋"/>
                <w:b/>
                <w:sz w:val="24"/>
                <w:szCs w:val="20"/>
                <w:highlight w:val="none"/>
              </w:rPr>
              <w:t>待发表刊物</w:t>
            </w:r>
          </w:p>
        </w:tc>
        <w:tc>
          <w:tcPr>
            <w:tcW w:w="4894" w:type="dxa"/>
            <w:gridSpan w:val="3"/>
            <w:tcBorders>
              <w:top w:val="single" w:color="auto" w:sz="4" w:space="0"/>
              <w:left w:val="single" w:color="auto" w:sz="4" w:space="0"/>
              <w:bottom w:val="single" w:color="auto" w:sz="4" w:space="0"/>
              <w:right w:val="single" w:color="auto" w:sz="4" w:space="0"/>
            </w:tcBorders>
            <w:noWrap/>
            <w:vAlign w:val="center"/>
          </w:tcPr>
          <w:p w14:paraId="017FF6FB">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c>
          <w:tcPr>
            <w:tcW w:w="1579" w:type="dxa"/>
            <w:gridSpan w:val="2"/>
            <w:tcBorders>
              <w:top w:val="single" w:color="auto" w:sz="4" w:space="0"/>
              <w:left w:val="single" w:color="auto" w:sz="4" w:space="0"/>
              <w:bottom w:val="single" w:color="auto" w:sz="4" w:space="0"/>
              <w:right w:val="single" w:color="auto" w:sz="4" w:space="0"/>
            </w:tcBorders>
            <w:noWrap/>
            <w:vAlign w:val="center"/>
          </w:tcPr>
          <w:p w14:paraId="45EBFF7D">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r>
              <w:rPr>
                <w:rFonts w:hint="default" w:ascii="Times New Roman" w:hAnsi="Times New Roman" w:eastAsia="仿宋"/>
                <w:b/>
                <w:sz w:val="24"/>
                <w:szCs w:val="20"/>
                <w:highlight w:val="none"/>
              </w:rPr>
              <w:t>版面费金额</w:t>
            </w:r>
          </w:p>
        </w:tc>
        <w:tc>
          <w:tcPr>
            <w:tcW w:w="1951" w:type="dxa"/>
            <w:tcBorders>
              <w:top w:val="single" w:color="auto" w:sz="4" w:space="0"/>
              <w:left w:val="single" w:color="auto" w:sz="4" w:space="0"/>
              <w:bottom w:val="single" w:color="auto" w:sz="4" w:space="0"/>
              <w:right w:val="single" w:color="auto" w:sz="4" w:space="0"/>
            </w:tcBorders>
            <w:noWrap/>
            <w:vAlign w:val="center"/>
          </w:tcPr>
          <w:p w14:paraId="7F9963B8">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4"/>
                <w:szCs w:val="20"/>
                <w:highlight w:val="none"/>
              </w:rPr>
            </w:pPr>
          </w:p>
        </w:tc>
      </w:tr>
      <w:tr w14:paraId="2667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2C24F7AE">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学校署名</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136688DA">
            <w:pPr>
              <w:keepNext w:val="0"/>
              <w:keepLines w:val="0"/>
              <w:pageBreakBefore w:val="0"/>
              <w:kinsoku/>
              <w:topLinePunct w:val="0"/>
              <w:autoSpaceDE/>
              <w:autoSpaceDN/>
              <w:bidi w:val="0"/>
              <w:spacing w:line="360" w:lineRule="auto"/>
              <w:ind w:firstLine="240" w:firstLineChars="100"/>
              <w:jc w:val="left"/>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第一单位</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第二单位</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其他：</w:t>
            </w:r>
          </w:p>
        </w:tc>
      </w:tr>
      <w:tr w14:paraId="3371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4A198FE8">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论文类型</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1447AA9E">
            <w:pPr>
              <w:keepNext w:val="0"/>
              <w:keepLines w:val="0"/>
              <w:pageBreakBefore w:val="0"/>
              <w:kinsoku/>
              <w:topLinePunct w:val="0"/>
              <w:autoSpaceDE/>
              <w:autoSpaceDN/>
              <w:bidi w:val="0"/>
              <w:spacing w:line="360" w:lineRule="auto"/>
              <w:ind w:firstLine="240" w:firstLineChars="100"/>
              <w:jc w:val="left"/>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“三高”论文：</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 xml:space="preserve"> A类 </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 xml:space="preserve"> B类 </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 xml:space="preserve"> C类</w:t>
            </w:r>
          </w:p>
          <w:p w14:paraId="76A5B776">
            <w:pPr>
              <w:keepNext w:val="0"/>
              <w:keepLines w:val="0"/>
              <w:pageBreakBefore w:val="0"/>
              <w:kinsoku/>
              <w:topLinePunct w:val="0"/>
              <w:autoSpaceDE/>
              <w:autoSpaceDN/>
              <w:bidi w:val="0"/>
              <w:spacing w:line="360" w:lineRule="auto"/>
              <w:ind w:firstLine="240" w:firstLineChars="100"/>
              <w:jc w:val="left"/>
              <w:textAlignment w:val="auto"/>
              <w:rPr>
                <w:rFonts w:hint="default" w:ascii="Times New Roman" w:hAnsi="Times New Roman" w:eastAsia="仿宋"/>
                <w:sz w:val="24"/>
                <w:szCs w:val="20"/>
                <w:highlight w:val="none"/>
                <w:u w:val="single"/>
              </w:rPr>
            </w:pP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其他（请写明）</w:t>
            </w:r>
            <w:r>
              <w:rPr>
                <w:rFonts w:hint="default" w:ascii="Times New Roman" w:hAnsi="Times New Roman" w:eastAsia="仿宋"/>
                <w:sz w:val="24"/>
                <w:szCs w:val="20"/>
                <w:highlight w:val="none"/>
                <w:u w:val="single"/>
              </w:rPr>
              <w:t xml:space="preserve">　　　　　　              </w:t>
            </w:r>
            <w:r>
              <w:rPr>
                <w:rFonts w:hint="default" w:ascii="Times New Roman" w:hAnsi="Times New Roman" w:eastAsia="仿宋"/>
                <w:sz w:val="24"/>
                <w:szCs w:val="20"/>
                <w:highlight w:val="none"/>
              </w:rPr>
              <w:t>，依托该项目列支第___篇。</w:t>
            </w:r>
          </w:p>
        </w:tc>
      </w:tr>
      <w:tr w14:paraId="6F80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2E9E8029">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人员类型</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623F017E">
            <w:pPr>
              <w:keepNext w:val="0"/>
              <w:keepLines w:val="0"/>
              <w:pageBreakBefore w:val="0"/>
              <w:kinsoku/>
              <w:topLinePunct w:val="0"/>
              <w:autoSpaceDE/>
              <w:autoSpaceDN/>
              <w:bidi w:val="0"/>
              <w:spacing w:line="360" w:lineRule="auto"/>
              <w:ind w:firstLine="240" w:firstLineChars="100"/>
              <w:jc w:val="left"/>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教职工</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本校学生</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校外联培博导、博士生</w:t>
            </w:r>
          </w:p>
        </w:tc>
      </w:tr>
      <w:tr w14:paraId="77D7A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6DE90739">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项目类别</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296A96E7">
            <w:pPr>
              <w:keepNext w:val="0"/>
              <w:keepLines w:val="0"/>
              <w:pageBreakBefore w:val="0"/>
              <w:kinsoku/>
              <w:topLinePunct w:val="0"/>
              <w:autoSpaceDE/>
              <w:autoSpaceDN/>
              <w:bidi w:val="0"/>
              <w:spacing w:line="360" w:lineRule="auto"/>
              <w:ind w:left="365" w:leftChars="114"/>
              <w:jc w:val="left"/>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自然科学纵向</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可报销论文版面费的社会科学纵向</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横向项目</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科研平台</w:t>
            </w:r>
            <w:r>
              <w:rPr>
                <w:rFonts w:hint="default" w:ascii="Times New Roman" w:hAnsi="Times New Roman" w:eastAsia="仿宋"/>
                <w:sz w:val="24"/>
                <w:szCs w:val="20"/>
                <w:highlight w:val="none"/>
              </w:rPr>
              <w:sym w:font="Wingdings 2" w:char="00A3"/>
            </w:r>
            <w:r>
              <w:rPr>
                <w:rFonts w:hint="default" w:ascii="Times New Roman" w:hAnsi="Times New Roman" w:eastAsia="仿宋"/>
                <w:sz w:val="24"/>
                <w:szCs w:val="20"/>
                <w:highlight w:val="none"/>
              </w:rPr>
              <w:t>其他非科研项目</w:t>
            </w:r>
          </w:p>
        </w:tc>
      </w:tr>
      <w:tr w14:paraId="671C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430" w:type="dxa"/>
            <w:tcBorders>
              <w:top w:val="single" w:color="auto" w:sz="4" w:space="0"/>
              <w:left w:val="single" w:color="auto" w:sz="4" w:space="0"/>
              <w:bottom w:val="single" w:color="auto" w:sz="4" w:space="0"/>
              <w:right w:val="single" w:color="auto" w:sz="4" w:space="0"/>
            </w:tcBorders>
            <w:noWrap/>
            <w:vAlign w:val="center"/>
          </w:tcPr>
          <w:p w14:paraId="098C47E1">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项目信息</w:t>
            </w:r>
          </w:p>
        </w:tc>
        <w:tc>
          <w:tcPr>
            <w:tcW w:w="8424" w:type="dxa"/>
            <w:gridSpan w:val="6"/>
            <w:tcBorders>
              <w:top w:val="single" w:color="auto" w:sz="4" w:space="0"/>
              <w:left w:val="single" w:color="auto" w:sz="4" w:space="0"/>
              <w:bottom w:val="single" w:color="auto" w:sz="4" w:space="0"/>
              <w:right w:val="single" w:color="auto" w:sz="4" w:space="0"/>
            </w:tcBorders>
            <w:noWrap/>
            <w:vAlign w:val="center"/>
          </w:tcPr>
          <w:p w14:paraId="0C13C28A">
            <w:pPr>
              <w:keepNext w:val="0"/>
              <w:keepLines w:val="0"/>
              <w:pageBreakBefore w:val="0"/>
              <w:kinsoku/>
              <w:topLinePunct w:val="0"/>
              <w:autoSpaceDE/>
              <w:autoSpaceDN/>
              <w:bidi w:val="0"/>
              <w:spacing w:line="360" w:lineRule="auto"/>
              <w:ind w:firstLine="240" w:firstLineChars="10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项目名称：</w:t>
            </w:r>
          </w:p>
          <w:p w14:paraId="58836989">
            <w:pPr>
              <w:keepNext w:val="0"/>
              <w:keepLines w:val="0"/>
              <w:pageBreakBefore w:val="0"/>
              <w:kinsoku/>
              <w:topLinePunct w:val="0"/>
              <w:autoSpaceDE/>
              <w:autoSpaceDN/>
              <w:bidi w:val="0"/>
              <w:spacing w:line="360" w:lineRule="auto"/>
              <w:ind w:firstLine="240" w:firstLineChars="10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经费资助部门（如科技厅、国家基金委等）：</w:t>
            </w:r>
          </w:p>
          <w:p w14:paraId="6B68DAF6">
            <w:pPr>
              <w:keepNext w:val="0"/>
              <w:keepLines w:val="0"/>
              <w:pageBreakBefore w:val="0"/>
              <w:kinsoku/>
              <w:topLinePunct w:val="0"/>
              <w:autoSpaceDE/>
              <w:autoSpaceDN/>
              <w:bidi w:val="0"/>
              <w:spacing w:line="360" w:lineRule="auto"/>
              <w:ind w:firstLine="240" w:firstLineChars="100"/>
              <w:textAlignment w:val="auto"/>
              <w:rPr>
                <w:rFonts w:hint="default" w:ascii="Times New Roman" w:hAnsi="Times New Roman" w:eastAsia="仿宋" w:cs="Times New Roman"/>
                <w:sz w:val="24"/>
                <w:szCs w:val="20"/>
                <w:highlight w:val="none"/>
              </w:rPr>
            </w:pPr>
            <w:r>
              <w:rPr>
                <w:rFonts w:hint="default" w:ascii="Times New Roman" w:hAnsi="Times New Roman" w:eastAsia="仿宋"/>
                <w:sz w:val="24"/>
                <w:szCs w:val="20"/>
                <w:highlight w:val="none"/>
              </w:rPr>
              <w:t>项目编号：</w:t>
            </w:r>
          </w:p>
          <w:p w14:paraId="57811E77">
            <w:pPr>
              <w:keepNext w:val="0"/>
              <w:keepLines w:val="0"/>
              <w:pageBreakBefore w:val="0"/>
              <w:kinsoku/>
              <w:topLinePunct w:val="0"/>
              <w:autoSpaceDE/>
              <w:autoSpaceDN/>
              <w:bidi w:val="0"/>
              <w:spacing w:line="360" w:lineRule="auto"/>
              <w:ind w:firstLine="240" w:firstLineChars="100"/>
              <w:textAlignment w:val="auto"/>
              <w:rPr>
                <w:rFonts w:hint="default" w:ascii="Times New Roman" w:hAnsi="Times New Roman" w:eastAsia="仿宋"/>
                <w:sz w:val="24"/>
                <w:szCs w:val="20"/>
                <w:highlight w:val="none"/>
              </w:rPr>
            </w:pPr>
            <w:r>
              <w:rPr>
                <w:rFonts w:hint="default" w:ascii="Times New Roman" w:hAnsi="Times New Roman" w:eastAsia="仿宋" w:cs="Times New Roman"/>
                <w:sz w:val="24"/>
                <w:szCs w:val="20"/>
                <w:lang w:val="en-US" w:eastAsia="zh-CN"/>
              </w:rPr>
              <w:t>项目对应财务经费项目编号：</w:t>
            </w:r>
          </w:p>
        </w:tc>
      </w:tr>
      <w:tr w14:paraId="7361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9854" w:type="dxa"/>
            <w:gridSpan w:val="7"/>
            <w:tcBorders>
              <w:top w:val="single" w:color="auto" w:sz="4" w:space="0"/>
              <w:left w:val="single" w:color="auto" w:sz="4" w:space="0"/>
              <w:bottom w:val="single" w:color="auto" w:sz="4" w:space="0"/>
              <w:right w:val="single" w:color="auto" w:sz="4" w:space="0"/>
            </w:tcBorders>
            <w:noWrap/>
            <w:vAlign w:val="center"/>
          </w:tcPr>
          <w:p w14:paraId="51810570">
            <w:pPr>
              <w:keepNext w:val="0"/>
              <w:keepLines w:val="0"/>
              <w:pageBreakBefore w:val="0"/>
              <w:kinsoku/>
              <w:topLinePunct w:val="0"/>
              <w:autoSpaceDE/>
              <w:autoSpaceDN/>
              <w:bidi w:val="0"/>
              <w:spacing w:line="360" w:lineRule="auto"/>
              <w:ind w:firstLine="482" w:firstLineChars="200"/>
              <w:jc w:val="left"/>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1.本人郑重承诺本论文不存在意识形态和科研学术诚信问题。</w:t>
            </w:r>
          </w:p>
          <w:p w14:paraId="79F61397">
            <w:pPr>
              <w:keepNext w:val="0"/>
              <w:keepLines w:val="0"/>
              <w:pageBreakBefore w:val="0"/>
              <w:kinsoku/>
              <w:wordWrap w:val="0"/>
              <w:topLinePunct w:val="0"/>
              <w:autoSpaceDE/>
              <w:autoSpaceDN/>
              <w:bidi w:val="0"/>
              <w:spacing w:line="360" w:lineRule="auto"/>
              <w:ind w:right="960" w:firstLine="480" w:firstLineChars="200"/>
              <w:textAlignment w:val="auto"/>
              <w:rPr>
                <w:rFonts w:hint="default" w:ascii="Times New Roman" w:hAnsi="Times New Roman" w:eastAsia="仿宋"/>
                <w:spacing w:val="-6"/>
                <w:sz w:val="24"/>
                <w:szCs w:val="20"/>
                <w:highlight w:val="none"/>
              </w:rPr>
            </w:pPr>
            <w:r>
              <w:rPr>
                <w:rFonts w:hint="default" w:ascii="Times New Roman" w:hAnsi="Times New Roman" w:eastAsia="仿宋"/>
                <w:sz w:val="24"/>
                <w:szCs w:val="20"/>
                <w:highlight w:val="none"/>
              </w:rPr>
              <w:t>2.本</w:t>
            </w:r>
            <w:r>
              <w:rPr>
                <w:rFonts w:hint="default" w:ascii="Times New Roman" w:hAnsi="Times New Roman" w:eastAsia="仿宋"/>
                <w:spacing w:val="-6"/>
                <w:sz w:val="24"/>
                <w:szCs w:val="20"/>
                <w:highlight w:val="none"/>
              </w:rPr>
              <w:t>人声明：已知晓学校的科研经费管理办法和相关规章制度，本论文计划发</w:t>
            </w:r>
            <w:r>
              <w:rPr>
                <w:rFonts w:hint="default" w:ascii="Times New Roman" w:hAnsi="Times New Roman" w:eastAsia="仿宋"/>
                <w:sz w:val="24"/>
                <w:szCs w:val="20"/>
                <w:highlight w:val="none"/>
              </w:rPr>
              <w:t>表的刊物没有被列</w:t>
            </w:r>
            <w:r>
              <w:rPr>
                <w:rFonts w:hint="default" w:ascii="Times New Roman" w:hAnsi="Times New Roman" w:eastAsia="仿宋"/>
                <w:spacing w:val="-6"/>
                <w:sz w:val="24"/>
                <w:szCs w:val="20"/>
                <w:highlight w:val="none"/>
              </w:rPr>
              <w:t>入国家发布的学术期刊“黑名单”或预警名单参照同期中国科学院《国际期刊预警名单》，依托本项目已报销“三高”外论文篇数符合相关制度要求，累计金额未超过上述项目的预算金额。</w:t>
            </w:r>
          </w:p>
          <w:p w14:paraId="6C311CF3">
            <w:pPr>
              <w:keepNext w:val="0"/>
              <w:keepLines w:val="0"/>
              <w:pageBreakBefore w:val="0"/>
              <w:kinsoku/>
              <w:wordWrap w:val="0"/>
              <w:topLinePunct w:val="0"/>
              <w:autoSpaceDE/>
              <w:autoSpaceDN/>
              <w:bidi w:val="0"/>
              <w:spacing w:line="360" w:lineRule="auto"/>
              <w:ind w:right="960" w:firstLine="5160" w:firstLineChars="215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第一作者或通讯作者签字：　　</w:t>
            </w:r>
          </w:p>
        </w:tc>
      </w:tr>
      <w:tr w14:paraId="386C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883" w:type="dxa"/>
            <w:gridSpan w:val="2"/>
            <w:tcBorders>
              <w:top w:val="single" w:color="auto" w:sz="4" w:space="0"/>
              <w:left w:val="single" w:color="auto" w:sz="4" w:space="0"/>
              <w:bottom w:val="single" w:color="auto" w:sz="4" w:space="0"/>
              <w:right w:val="single" w:color="auto" w:sz="4" w:space="0"/>
            </w:tcBorders>
            <w:noWrap/>
            <w:vAlign w:val="center"/>
          </w:tcPr>
          <w:p w14:paraId="24B5127D">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经费负责人意见</w:t>
            </w:r>
          </w:p>
        </w:tc>
        <w:tc>
          <w:tcPr>
            <w:tcW w:w="6971" w:type="dxa"/>
            <w:gridSpan w:val="5"/>
            <w:tcBorders>
              <w:top w:val="single" w:color="auto" w:sz="4" w:space="0"/>
              <w:left w:val="single" w:color="auto" w:sz="4" w:space="0"/>
              <w:bottom w:val="single" w:color="auto" w:sz="4" w:space="0"/>
              <w:right w:val="single" w:color="auto" w:sz="4" w:space="0"/>
            </w:tcBorders>
            <w:noWrap/>
            <w:vAlign w:val="center"/>
          </w:tcPr>
          <w:p w14:paraId="7262E990">
            <w:pPr>
              <w:keepNext w:val="0"/>
              <w:keepLines w:val="0"/>
              <w:pageBreakBefore w:val="0"/>
              <w:kinsoku/>
              <w:wordWrap w:val="0"/>
              <w:topLinePunct w:val="0"/>
              <w:autoSpaceDE/>
              <w:autoSpaceDN/>
              <w:bidi w:val="0"/>
              <w:spacing w:line="360" w:lineRule="auto"/>
              <w:ind w:right="960" w:firstLine="3840" w:firstLineChars="160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签字：　　　　　</w:t>
            </w:r>
          </w:p>
          <w:p w14:paraId="610622CC">
            <w:pPr>
              <w:keepNext w:val="0"/>
              <w:keepLines w:val="0"/>
              <w:pageBreakBefore w:val="0"/>
              <w:kinsoku/>
              <w:topLinePunct w:val="0"/>
              <w:autoSpaceDE/>
              <w:autoSpaceDN/>
              <w:bidi w:val="0"/>
              <w:spacing w:line="360" w:lineRule="auto"/>
              <w:ind w:right="240"/>
              <w:jc w:val="right"/>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年　　　月　　　日</w:t>
            </w:r>
          </w:p>
        </w:tc>
      </w:tr>
      <w:tr w14:paraId="6BD9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883" w:type="dxa"/>
            <w:gridSpan w:val="2"/>
            <w:tcBorders>
              <w:top w:val="single" w:color="auto" w:sz="4" w:space="0"/>
              <w:left w:val="single" w:color="auto" w:sz="4" w:space="0"/>
              <w:bottom w:val="single" w:color="auto" w:sz="4" w:space="0"/>
              <w:right w:val="single" w:color="auto" w:sz="4" w:space="0"/>
            </w:tcBorders>
            <w:noWrap/>
            <w:vAlign w:val="center"/>
          </w:tcPr>
          <w:p w14:paraId="39B72F24">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所在单位意见</w:t>
            </w:r>
          </w:p>
        </w:tc>
        <w:tc>
          <w:tcPr>
            <w:tcW w:w="6971" w:type="dxa"/>
            <w:gridSpan w:val="5"/>
            <w:tcBorders>
              <w:top w:val="single" w:color="auto" w:sz="4" w:space="0"/>
              <w:left w:val="single" w:color="auto" w:sz="4" w:space="0"/>
              <w:bottom w:val="single" w:color="auto" w:sz="4" w:space="0"/>
              <w:right w:val="single" w:color="auto" w:sz="4" w:space="0"/>
            </w:tcBorders>
            <w:noWrap/>
            <w:vAlign w:val="center"/>
          </w:tcPr>
          <w:p w14:paraId="3DC60518">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 xml:space="preserve">             签字：</w:t>
            </w:r>
          </w:p>
          <w:p w14:paraId="2D45C1E2">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 xml:space="preserve">                                  年　　　月　　　日</w:t>
            </w:r>
          </w:p>
        </w:tc>
      </w:tr>
      <w:tr w14:paraId="5CBAA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883" w:type="dxa"/>
            <w:gridSpan w:val="2"/>
            <w:tcBorders>
              <w:top w:val="single" w:color="auto" w:sz="4" w:space="0"/>
              <w:left w:val="single" w:color="auto" w:sz="4" w:space="0"/>
              <w:bottom w:val="single" w:color="auto" w:sz="4" w:space="0"/>
              <w:right w:val="single" w:color="auto" w:sz="4" w:space="0"/>
            </w:tcBorders>
            <w:noWrap/>
            <w:vAlign w:val="center"/>
          </w:tcPr>
          <w:p w14:paraId="7EAAE7EB">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4"/>
                <w:szCs w:val="20"/>
                <w:highlight w:val="none"/>
              </w:rPr>
            </w:pPr>
            <w:r>
              <w:rPr>
                <w:rFonts w:hint="default" w:ascii="Times New Roman" w:hAnsi="Times New Roman" w:eastAsia="仿宋"/>
                <w:b/>
                <w:sz w:val="24"/>
                <w:szCs w:val="20"/>
                <w:highlight w:val="none"/>
              </w:rPr>
              <w:t>所在单位学术委员会意见（论文版面费实报金额</w:t>
            </w:r>
            <w:r>
              <w:rPr>
                <w:rFonts w:hint="default" w:ascii="Times New Roman" w:hAnsi="Times New Roman" w:eastAsia="仿宋" w:cs="Times New Roman"/>
                <w:b/>
                <w:sz w:val="24"/>
                <w:szCs w:val="20"/>
                <w:highlight w:val="none"/>
              </w:rPr>
              <w:t>&gt;2万元/篇</w:t>
            </w:r>
            <w:r>
              <w:rPr>
                <w:rFonts w:hint="default" w:ascii="Times New Roman" w:hAnsi="Times New Roman" w:eastAsia="仿宋"/>
                <w:b/>
                <w:sz w:val="24"/>
                <w:szCs w:val="20"/>
                <w:highlight w:val="none"/>
              </w:rPr>
              <w:t>）</w:t>
            </w:r>
          </w:p>
        </w:tc>
        <w:tc>
          <w:tcPr>
            <w:tcW w:w="6971" w:type="dxa"/>
            <w:gridSpan w:val="5"/>
            <w:tcBorders>
              <w:top w:val="single" w:color="auto" w:sz="4" w:space="0"/>
              <w:left w:val="single" w:color="auto" w:sz="4" w:space="0"/>
              <w:bottom w:val="single" w:color="auto" w:sz="4" w:space="0"/>
              <w:right w:val="single" w:color="auto" w:sz="4" w:space="0"/>
            </w:tcBorders>
            <w:noWrap/>
            <w:vAlign w:val="center"/>
          </w:tcPr>
          <w:p w14:paraId="6E89D5C9">
            <w:pPr>
              <w:keepNext w:val="0"/>
              <w:keepLines w:val="0"/>
              <w:pageBreakBefore w:val="0"/>
              <w:kinsoku/>
              <w:topLinePunct w:val="0"/>
              <w:autoSpaceDE/>
              <w:autoSpaceDN/>
              <w:bidi w:val="0"/>
              <w:spacing w:line="360" w:lineRule="auto"/>
              <w:ind w:right="960" w:firstLine="3840" w:firstLineChars="160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签字：　　　　　</w:t>
            </w:r>
          </w:p>
          <w:p w14:paraId="7A907EA2">
            <w:pPr>
              <w:keepNext w:val="0"/>
              <w:keepLines w:val="0"/>
              <w:pageBreakBefore w:val="0"/>
              <w:kinsoku/>
              <w:topLinePunct w:val="0"/>
              <w:autoSpaceDE/>
              <w:autoSpaceDN/>
              <w:bidi w:val="0"/>
              <w:spacing w:line="360" w:lineRule="auto"/>
              <w:ind w:firstLine="4320" w:firstLineChars="1800"/>
              <w:textAlignment w:val="auto"/>
              <w:rPr>
                <w:rFonts w:hint="default" w:ascii="Times New Roman" w:hAnsi="Times New Roman" w:eastAsia="仿宋"/>
                <w:sz w:val="24"/>
                <w:szCs w:val="20"/>
                <w:highlight w:val="none"/>
              </w:rPr>
            </w:pPr>
            <w:r>
              <w:rPr>
                <w:rFonts w:hint="default" w:ascii="Times New Roman" w:hAnsi="Times New Roman" w:eastAsia="仿宋"/>
                <w:sz w:val="24"/>
                <w:szCs w:val="20"/>
                <w:highlight w:val="none"/>
              </w:rPr>
              <w:t>年　　　月　　　日</w:t>
            </w:r>
          </w:p>
        </w:tc>
      </w:tr>
    </w:tbl>
    <w:p w14:paraId="1B76183C">
      <w:pPr>
        <w:keepNext w:val="0"/>
        <w:keepLines w:val="0"/>
        <w:pageBreakBefore w:val="0"/>
        <w:kinsoku/>
        <w:topLinePunct w:val="0"/>
        <w:autoSpaceDE/>
        <w:autoSpaceDN/>
        <w:bidi w:val="0"/>
        <w:spacing w:line="360" w:lineRule="auto"/>
        <w:jc w:val="left"/>
        <w:textAlignment w:val="auto"/>
        <w:rPr>
          <w:rFonts w:hint="default" w:ascii="Times New Roman" w:hAnsi="Times New Roman" w:eastAsia="仿宋" w:cs="Times New Roman"/>
          <w:bCs/>
          <w:kern w:val="2"/>
          <w:sz w:val="24"/>
          <w:szCs w:val="20"/>
          <w:highlight w:val="none"/>
          <w:lang w:val="en-US" w:eastAsia="zh-CN" w:bidi="ar-SA"/>
        </w:rPr>
      </w:pPr>
      <w:r>
        <w:rPr>
          <w:rFonts w:hint="default" w:ascii="Times New Roman" w:hAnsi="Times New Roman" w:eastAsia="仿宋" w:cs="Times New Roman"/>
          <w:bCs/>
          <w:sz w:val="24"/>
          <w:szCs w:val="20"/>
          <w:highlight w:val="none"/>
        </w:rPr>
        <w:t>说明：1.“所在单位意见”由部门分管科研负责人签字。单篇论文</w:t>
      </w:r>
      <w:r>
        <w:rPr>
          <w:rFonts w:hint="default" w:ascii="Times New Roman" w:eastAsia="仿宋"/>
          <w:bCs/>
          <w:sz w:val="24"/>
          <w:szCs w:val="20"/>
          <w:highlight w:val="none"/>
        </w:rPr>
        <w:t>版面费</w:t>
      </w:r>
      <w:r>
        <w:rPr>
          <w:rFonts w:hint="default" w:ascii="Times New Roman" w:hAnsi="Times New Roman" w:eastAsia="仿宋" w:cs="Times New Roman"/>
          <w:bCs/>
          <w:sz w:val="24"/>
          <w:szCs w:val="20"/>
          <w:highlight w:val="none"/>
        </w:rPr>
        <w:t>超过2万元的，还须经所在单位学术委员会审批。2.项目来源单位有明确不得列支论文版面费的社科类项目不得报销。如国家社科基金项目、国家艺术基金项目、教育部社科项目、省社科基金项目、省委宣传部项目、省教育厅除中青年教师教育科研项目之外的社科项目（含平台）、科技特派员等。若上级部门有新的规定，以新规定为准。3.每个项目可以报销两篇非“三高”论文。</w:t>
      </w:r>
      <w:r>
        <w:rPr>
          <w:rFonts w:hint="default" w:ascii="Times New Roman" w:hAnsi="Times New Roman" w:eastAsia="仿宋" w:cs="Times New Roman"/>
          <w:bCs/>
          <w:kern w:val="2"/>
          <w:sz w:val="24"/>
          <w:szCs w:val="20"/>
          <w:highlight w:val="none"/>
          <w:lang w:val="en-US" w:eastAsia="zh-CN" w:bidi="ar-SA"/>
        </w:rPr>
        <w:t>4.本表一式三份，交所在二级单位、财务处（报销时提供）、科学技术处。5.报销时需提供论文体现项目资助的相关页面。</w:t>
      </w:r>
    </w:p>
    <w:p w14:paraId="6BC98422">
      <w:pPr>
        <w:keepNext w:val="0"/>
        <w:keepLines w:val="0"/>
        <w:pageBreakBefore w:val="0"/>
        <w:kinsoku/>
        <w:topLinePunct w:val="0"/>
        <w:autoSpaceDE/>
        <w:autoSpaceDN/>
        <w:bidi w:val="0"/>
        <w:spacing w:line="360" w:lineRule="auto"/>
        <w:jc w:val="left"/>
        <w:textAlignment w:val="auto"/>
        <w:rPr>
          <w:rFonts w:hint="default" w:ascii="Times New Roman" w:hAnsi="Times New Roman" w:eastAsia="仿宋_GB2312" w:cs="Times New Roman"/>
          <w:bCs/>
          <w:sz w:val="24"/>
          <w:szCs w:val="20"/>
          <w:highlight w:val="none"/>
        </w:rPr>
      </w:pPr>
    </w:p>
    <w:p w14:paraId="5A7F9308">
      <w:pPr>
        <w:keepNext w:val="0"/>
        <w:keepLines w:val="0"/>
        <w:pageBreakBefore w:val="0"/>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br w:type="page"/>
      </w:r>
    </w:p>
    <w:p w14:paraId="0EFC548D">
      <w:pPr>
        <w:keepNext w:val="0"/>
        <w:keepLines w:val="0"/>
        <w:pageBreakBefore w:val="0"/>
        <w:shd w:val="clear" w:color="auto" w:fill="FFFFFF"/>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t>附件3</w:t>
      </w:r>
    </w:p>
    <w:p w14:paraId="70DED0A7">
      <w:pPr>
        <w:keepNext w:val="0"/>
        <w:keepLines w:val="0"/>
        <w:pageBreakBefore w:val="0"/>
        <w:shd w:val="clear" w:color="auto" w:fill="FFFFFF"/>
        <w:kinsoku/>
        <w:topLinePunct w:val="0"/>
        <w:autoSpaceDE/>
        <w:autoSpaceDN/>
        <w:bidi w:val="0"/>
        <w:spacing w:line="360" w:lineRule="auto"/>
        <w:textAlignment w:val="auto"/>
        <w:rPr>
          <w:rFonts w:hint="default" w:ascii="Times New Roman" w:hAnsi="Times New Roman" w:eastAsia="黑体"/>
          <w:b/>
          <w:highlight w:val="none"/>
        </w:rPr>
      </w:pPr>
    </w:p>
    <w:p w14:paraId="46F372D6">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专利权人说明</w:t>
      </w:r>
    </w:p>
    <w:p w14:paraId="63BC76E2">
      <w:pPr>
        <w:keepNext w:val="0"/>
        <w:keepLines w:val="0"/>
        <w:pageBreakBefore w:val="0"/>
        <w:kinsoku/>
        <w:topLinePunct w:val="0"/>
        <w:autoSpaceDE/>
        <w:autoSpaceDN/>
        <w:bidi w:val="0"/>
        <w:spacing w:line="360" w:lineRule="auto"/>
        <w:jc w:val="center"/>
        <w:textAlignment w:val="auto"/>
        <w:rPr>
          <w:rFonts w:hint="default" w:ascii="Times New Roman" w:hAnsi="Times New Roman" w:cs="Times New Roman"/>
          <w:b/>
          <w:sz w:val="22"/>
          <w:szCs w:val="44"/>
          <w:highlight w:val="none"/>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8"/>
        <w:gridCol w:w="1631"/>
        <w:gridCol w:w="2840"/>
        <w:gridCol w:w="2843"/>
      </w:tblGrid>
      <w:tr w14:paraId="3931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gridSpan w:val="2"/>
          </w:tcPr>
          <w:p w14:paraId="06026E9B">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8"/>
                <w:szCs w:val="28"/>
                <w:highlight w:val="none"/>
              </w:rPr>
            </w:pPr>
            <w:r>
              <w:rPr>
                <w:rFonts w:hint="default" w:ascii="Times New Roman" w:hAnsi="Times New Roman" w:eastAsia="仿宋"/>
                <w:b/>
                <w:sz w:val="28"/>
                <w:szCs w:val="28"/>
                <w:highlight w:val="none"/>
              </w:rPr>
              <w:t>专利</w:t>
            </w:r>
            <w:r>
              <w:rPr>
                <w:rFonts w:ascii="Times New Roman" w:hAnsi="Times New Roman" w:eastAsia="仿宋"/>
                <w:b/>
                <w:sz w:val="28"/>
                <w:szCs w:val="28"/>
                <w:highlight w:val="none"/>
              </w:rPr>
              <w:t>名称</w:t>
            </w:r>
          </w:p>
        </w:tc>
        <w:tc>
          <w:tcPr>
            <w:tcW w:w="1666" w:type="pct"/>
          </w:tcPr>
          <w:p w14:paraId="62E7DE68">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8"/>
                <w:szCs w:val="28"/>
                <w:highlight w:val="none"/>
              </w:rPr>
            </w:pPr>
            <w:r>
              <w:rPr>
                <w:rFonts w:hint="default" w:ascii="Times New Roman" w:hAnsi="Times New Roman" w:eastAsia="仿宋"/>
                <w:b/>
                <w:sz w:val="28"/>
                <w:szCs w:val="28"/>
                <w:highlight w:val="none"/>
              </w:rPr>
              <w:t>专利</w:t>
            </w:r>
            <w:r>
              <w:rPr>
                <w:rFonts w:ascii="Times New Roman" w:hAnsi="Times New Roman" w:eastAsia="仿宋"/>
                <w:b/>
                <w:sz w:val="28"/>
                <w:szCs w:val="28"/>
                <w:highlight w:val="none"/>
              </w:rPr>
              <w:t>类型</w:t>
            </w:r>
          </w:p>
        </w:tc>
        <w:tc>
          <w:tcPr>
            <w:tcW w:w="1668" w:type="pct"/>
          </w:tcPr>
          <w:p w14:paraId="0613F639">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b/>
                <w:sz w:val="28"/>
                <w:szCs w:val="28"/>
                <w:highlight w:val="none"/>
              </w:rPr>
            </w:pPr>
            <w:r>
              <w:rPr>
                <w:rFonts w:hint="default" w:ascii="Times New Roman" w:hAnsi="Times New Roman" w:eastAsia="仿宋"/>
                <w:b/>
                <w:sz w:val="28"/>
                <w:szCs w:val="28"/>
                <w:highlight w:val="none"/>
              </w:rPr>
              <w:t>备注</w:t>
            </w:r>
          </w:p>
        </w:tc>
      </w:tr>
      <w:tr w14:paraId="233B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1666" w:type="pct"/>
            <w:gridSpan w:val="2"/>
          </w:tcPr>
          <w:p w14:paraId="1CD48333">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p>
        </w:tc>
        <w:tc>
          <w:tcPr>
            <w:tcW w:w="1666" w:type="pct"/>
          </w:tcPr>
          <w:p w14:paraId="40C9F469">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p>
        </w:tc>
        <w:tc>
          <w:tcPr>
            <w:tcW w:w="1668" w:type="pct"/>
          </w:tcPr>
          <w:p w14:paraId="4CDC9FB0">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w:t>
            </w:r>
            <w:r>
              <w:rPr>
                <w:rFonts w:ascii="Times New Roman" w:hAnsi="Times New Roman" w:eastAsia="仿宋"/>
                <w:sz w:val="28"/>
                <w:szCs w:val="28"/>
                <w:highlight w:val="none"/>
              </w:rPr>
              <w:t>申请</w:t>
            </w:r>
            <w:r>
              <w:rPr>
                <w:rFonts w:hint="default" w:ascii="Times New Roman" w:hAnsi="Times New Roman" w:eastAsia="仿宋"/>
                <w:sz w:val="28"/>
                <w:szCs w:val="28"/>
                <w:highlight w:val="none"/>
              </w:rPr>
              <w:t>专利</w:t>
            </w:r>
          </w:p>
          <w:p w14:paraId="05981503">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□授权</w:t>
            </w:r>
            <w:r>
              <w:rPr>
                <w:rFonts w:ascii="Times New Roman" w:hAnsi="Times New Roman" w:eastAsia="仿宋"/>
                <w:sz w:val="28"/>
                <w:szCs w:val="28"/>
                <w:highlight w:val="none"/>
              </w:rPr>
              <w:t>专利</w:t>
            </w:r>
          </w:p>
        </w:tc>
      </w:tr>
      <w:tr w14:paraId="073A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2" w:hRule="atLeast"/>
        </w:trPr>
        <w:tc>
          <w:tcPr>
            <w:tcW w:w="5000" w:type="pct"/>
            <w:gridSpan w:val="4"/>
          </w:tcPr>
          <w:p w14:paraId="74E7EF88">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根据</w:t>
            </w:r>
            <w:r>
              <w:rPr>
                <w:rFonts w:ascii="Times New Roman" w:hAnsi="Times New Roman" w:eastAsia="仿宋"/>
                <w:sz w:val="28"/>
                <w:szCs w:val="28"/>
                <w:highlight w:val="none"/>
              </w:rPr>
              <w:t>《</w:t>
            </w:r>
            <w:r>
              <w:rPr>
                <w:rFonts w:hint="default" w:ascii="Times New Roman" w:hAnsi="Times New Roman" w:eastAsia="仿宋"/>
                <w:sz w:val="28"/>
                <w:szCs w:val="28"/>
                <w:highlight w:val="none"/>
              </w:rPr>
              <w:t>教育部 国家知识产权局 科技部关于提升高等学校专利质量促进转化运用的若干意见</w:t>
            </w:r>
            <w:r>
              <w:rPr>
                <w:rFonts w:ascii="Times New Roman" w:hAnsi="Times New Roman" w:eastAsia="仿宋"/>
                <w:sz w:val="28"/>
                <w:szCs w:val="28"/>
                <w:highlight w:val="none"/>
              </w:rPr>
              <w:t>》</w:t>
            </w:r>
            <w:r>
              <w:rPr>
                <w:rFonts w:hint="default" w:ascii="Times New Roman" w:hAnsi="Times New Roman" w:eastAsia="仿宋"/>
                <w:sz w:val="28"/>
                <w:szCs w:val="28"/>
                <w:highlight w:val="none"/>
              </w:rPr>
              <w:t>（教科技〔2020〕1 号）文件相关</w:t>
            </w:r>
            <w:r>
              <w:rPr>
                <w:rFonts w:ascii="Times New Roman" w:hAnsi="Times New Roman" w:eastAsia="仿宋"/>
                <w:sz w:val="28"/>
                <w:szCs w:val="28"/>
                <w:highlight w:val="none"/>
              </w:rPr>
              <w:t>要求，</w:t>
            </w:r>
            <w:r>
              <w:rPr>
                <w:rFonts w:hint="default" w:ascii="Times New Roman" w:hAnsi="Times New Roman" w:eastAsia="仿宋"/>
                <w:sz w:val="28"/>
                <w:szCs w:val="28"/>
                <w:highlight w:val="none"/>
              </w:rPr>
              <w:t>为</w:t>
            </w:r>
            <w:r>
              <w:rPr>
                <w:rFonts w:ascii="Times New Roman" w:hAnsi="Times New Roman" w:eastAsia="仿宋"/>
                <w:sz w:val="28"/>
                <w:szCs w:val="28"/>
                <w:highlight w:val="none"/>
              </w:rPr>
              <w:t>做好专利申请工作，</w:t>
            </w:r>
            <w:r>
              <w:rPr>
                <w:rFonts w:hint="default" w:ascii="Times New Roman" w:hAnsi="Times New Roman" w:eastAsia="仿宋"/>
                <w:sz w:val="28"/>
                <w:szCs w:val="28"/>
                <w:highlight w:val="none"/>
              </w:rPr>
              <w:t>说</w:t>
            </w:r>
            <w:r>
              <w:rPr>
                <w:rFonts w:ascii="Times New Roman" w:hAnsi="Times New Roman" w:eastAsia="仿宋"/>
                <w:sz w:val="28"/>
                <w:szCs w:val="28"/>
                <w:highlight w:val="none"/>
              </w:rPr>
              <w:t>明如下：</w:t>
            </w:r>
          </w:p>
          <w:p w14:paraId="78B82EBD">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rPr>
            </w:pPr>
            <w:r>
              <w:rPr>
                <w:rFonts w:ascii="Times New Roman" w:hAnsi="Times New Roman" w:eastAsia="仿宋"/>
                <w:sz w:val="28"/>
                <w:szCs w:val="28"/>
                <w:highlight w:val="none"/>
              </w:rPr>
              <w:t>1.</w:t>
            </w:r>
            <w:r>
              <w:rPr>
                <w:rFonts w:hint="default" w:ascii="Times New Roman" w:hAnsi="Times New Roman" w:eastAsia="仿宋"/>
                <w:sz w:val="28"/>
                <w:szCs w:val="28"/>
                <w:highlight w:val="none"/>
              </w:rPr>
              <w:t>本</w:t>
            </w:r>
            <w:r>
              <w:rPr>
                <w:rFonts w:ascii="Times New Roman" w:hAnsi="Times New Roman" w:eastAsia="仿宋"/>
                <w:sz w:val="28"/>
                <w:szCs w:val="28"/>
                <w:highlight w:val="none"/>
              </w:rPr>
              <w:t>专利</w:t>
            </w:r>
            <w:r>
              <w:rPr>
                <w:rFonts w:hint="default" w:ascii="Times New Roman" w:hAnsi="Times New Roman" w:eastAsia="仿宋"/>
                <w:sz w:val="28"/>
                <w:szCs w:val="28"/>
                <w:highlight w:val="none"/>
              </w:rPr>
              <w:t>专利</w:t>
            </w:r>
            <w:r>
              <w:rPr>
                <w:rFonts w:ascii="Times New Roman" w:hAnsi="Times New Roman" w:eastAsia="仿宋"/>
                <w:sz w:val="28"/>
                <w:szCs w:val="28"/>
                <w:highlight w:val="none"/>
              </w:rPr>
              <w:t>权人</w:t>
            </w:r>
            <w:r>
              <w:rPr>
                <w:rFonts w:hint="default" w:ascii="Times New Roman" w:hAnsi="Times New Roman" w:eastAsia="仿宋"/>
                <w:sz w:val="28"/>
                <w:szCs w:val="28"/>
                <w:highlight w:val="none"/>
              </w:rPr>
              <w:t>为</w:t>
            </w:r>
            <w:r>
              <w:rPr>
                <w:rFonts w:ascii="Times New Roman" w:hAnsi="Times New Roman" w:eastAsia="仿宋"/>
                <w:sz w:val="28"/>
                <w:szCs w:val="28"/>
                <w:highlight w:val="none"/>
                <w:u w:val="single"/>
              </w:rPr>
              <w:t>福建中医药大学</w:t>
            </w:r>
            <w:r>
              <w:rPr>
                <w:rFonts w:hint="default" w:ascii="Times New Roman" w:hAnsi="Times New Roman" w:eastAsia="仿宋"/>
                <w:sz w:val="28"/>
                <w:szCs w:val="28"/>
                <w:highlight w:val="none"/>
              </w:rPr>
              <w:t>。</w:t>
            </w:r>
          </w:p>
          <w:p w14:paraId="5733A6CE">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u w:val="single"/>
              </w:rPr>
            </w:pPr>
            <w:r>
              <w:rPr>
                <w:rFonts w:hint="default" w:ascii="Times New Roman" w:hAnsi="Times New Roman" w:eastAsia="仿宋"/>
                <w:sz w:val="28"/>
                <w:szCs w:val="28"/>
                <w:highlight w:val="none"/>
              </w:rPr>
              <w:t>2.专利</w:t>
            </w:r>
            <w:r>
              <w:rPr>
                <w:rFonts w:ascii="Times New Roman" w:hAnsi="Times New Roman" w:eastAsia="仿宋"/>
                <w:sz w:val="28"/>
                <w:szCs w:val="28"/>
                <w:highlight w:val="none"/>
              </w:rPr>
              <w:t>所有权福建中医</w:t>
            </w:r>
            <w:r>
              <w:rPr>
                <w:rFonts w:hint="default" w:ascii="Times New Roman" w:hAnsi="Times New Roman" w:eastAsia="仿宋"/>
                <w:sz w:val="28"/>
                <w:szCs w:val="28"/>
                <w:highlight w:val="none"/>
              </w:rPr>
              <w:t>药</w:t>
            </w:r>
            <w:r>
              <w:rPr>
                <w:rFonts w:ascii="Times New Roman" w:hAnsi="Times New Roman" w:eastAsia="仿宋"/>
                <w:sz w:val="28"/>
                <w:szCs w:val="28"/>
                <w:highlight w:val="none"/>
              </w:rPr>
              <w:t>大学</w:t>
            </w:r>
            <w:r>
              <w:rPr>
                <w:rFonts w:hint="default" w:ascii="Times New Roman" w:hAnsi="Times New Roman" w:eastAsia="仿宋"/>
                <w:sz w:val="28"/>
                <w:szCs w:val="28"/>
                <w:highlight w:val="none"/>
              </w:rPr>
              <w:t>占</w:t>
            </w:r>
            <w:r>
              <w:rPr>
                <w:rFonts w:ascii="Times New Roman" w:hAnsi="Times New Roman" w:eastAsia="仿宋"/>
                <w:sz w:val="28"/>
                <w:szCs w:val="28"/>
                <w:highlight w:val="none"/>
              </w:rPr>
              <w:t>：</w:t>
            </w:r>
            <w:r>
              <w:rPr>
                <w:rFonts w:hint="default" w:ascii="Times New Roman" w:hAnsi="Times New Roman" w:eastAsia="仿宋"/>
                <w:sz w:val="28"/>
                <w:szCs w:val="28"/>
                <w:highlight w:val="none"/>
              </w:rPr>
              <w:t xml:space="preserve">□100% </w:t>
            </w:r>
            <w:r>
              <w:rPr>
                <w:rFonts w:ascii="Times New Roman" w:hAnsi="Times New Roman" w:eastAsia="仿宋"/>
                <w:sz w:val="28"/>
                <w:szCs w:val="28"/>
                <w:highlight w:val="none"/>
              </w:rPr>
              <w:t>/</w:t>
            </w:r>
            <w:r>
              <w:rPr>
                <w:rFonts w:hint="default" w:ascii="Times New Roman" w:hAnsi="Times New Roman" w:eastAsia="仿宋"/>
                <w:sz w:val="28"/>
                <w:szCs w:val="28"/>
                <w:highlight w:val="none"/>
              </w:rPr>
              <w:t>□其他</w:t>
            </w:r>
            <w:r>
              <w:rPr>
                <w:rFonts w:ascii="Times New Roman" w:hAnsi="Times New Roman" w:eastAsia="仿宋"/>
                <w:sz w:val="28"/>
                <w:szCs w:val="28"/>
                <w:highlight w:val="none"/>
              </w:rPr>
              <w:t>：</w:t>
            </w:r>
            <w:r>
              <w:rPr>
                <w:rFonts w:hint="default" w:ascii="Times New Roman" w:hAnsi="Times New Roman" w:eastAsia="仿宋"/>
                <w:sz w:val="28"/>
                <w:szCs w:val="28"/>
                <w:highlight w:val="none"/>
                <w:u w:val="single"/>
              </w:rPr>
              <w:t>%</w:t>
            </w:r>
            <w:r>
              <w:rPr>
                <w:rFonts w:hint="default" w:ascii="Times New Roman" w:hAnsi="Times New Roman" w:eastAsia="仿宋"/>
                <w:sz w:val="28"/>
                <w:szCs w:val="28"/>
                <w:highlight w:val="none"/>
              </w:rPr>
              <w:t>，</w:t>
            </w:r>
            <w:r>
              <w:rPr>
                <w:rFonts w:ascii="Times New Roman" w:hAnsi="Times New Roman" w:eastAsia="仿宋"/>
                <w:sz w:val="28"/>
                <w:szCs w:val="28"/>
                <w:highlight w:val="none"/>
              </w:rPr>
              <w:t>其他</w:t>
            </w:r>
            <w:r>
              <w:rPr>
                <w:rFonts w:hint="default" w:ascii="Times New Roman" w:hAnsi="Times New Roman" w:eastAsia="仿宋"/>
                <w:sz w:val="28"/>
                <w:szCs w:val="28"/>
                <w:highlight w:val="none"/>
              </w:rPr>
              <w:t>专利</w:t>
            </w:r>
            <w:r>
              <w:rPr>
                <w:rFonts w:ascii="Times New Roman" w:hAnsi="Times New Roman" w:eastAsia="仿宋"/>
                <w:sz w:val="28"/>
                <w:szCs w:val="28"/>
                <w:highlight w:val="none"/>
              </w:rPr>
              <w:t>权人为</w:t>
            </w:r>
            <w:r>
              <w:rPr>
                <w:rFonts w:hint="default" w:ascii="Times New Roman" w:hAnsi="Times New Roman" w:eastAsia="仿宋"/>
                <w:sz w:val="28"/>
                <w:szCs w:val="28"/>
                <w:highlight w:val="none"/>
              </w:rPr>
              <w:t>：</w:t>
            </w:r>
          </w:p>
          <w:p w14:paraId="30C83A15">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3.</w:t>
            </w:r>
            <w:r>
              <w:rPr>
                <w:rFonts w:ascii="Times New Roman" w:hAnsi="Times New Roman" w:eastAsia="仿宋"/>
                <w:sz w:val="28"/>
                <w:szCs w:val="28"/>
                <w:highlight w:val="none"/>
              </w:rPr>
              <w:t>专利发明人：（</w:t>
            </w:r>
            <w:r>
              <w:rPr>
                <w:rFonts w:hint="default" w:ascii="Times New Roman" w:hAnsi="Times New Roman" w:eastAsia="仿宋"/>
                <w:sz w:val="28"/>
                <w:szCs w:val="28"/>
                <w:highlight w:val="none"/>
              </w:rPr>
              <w:t>列</w:t>
            </w:r>
            <w:r>
              <w:rPr>
                <w:rFonts w:ascii="Times New Roman" w:hAnsi="Times New Roman" w:eastAsia="仿宋"/>
                <w:sz w:val="28"/>
                <w:szCs w:val="28"/>
                <w:highlight w:val="none"/>
              </w:rPr>
              <w:t>出相关</w:t>
            </w:r>
            <w:r>
              <w:rPr>
                <w:rFonts w:hint="default" w:ascii="Times New Roman" w:hAnsi="Times New Roman" w:eastAsia="仿宋"/>
                <w:sz w:val="28"/>
                <w:szCs w:val="28"/>
                <w:highlight w:val="none"/>
              </w:rPr>
              <w:t>发</w:t>
            </w:r>
            <w:r>
              <w:rPr>
                <w:rFonts w:ascii="Times New Roman" w:hAnsi="Times New Roman" w:eastAsia="仿宋"/>
                <w:sz w:val="28"/>
                <w:szCs w:val="28"/>
                <w:highlight w:val="none"/>
              </w:rPr>
              <w:t>明人）</w:t>
            </w:r>
          </w:p>
          <w:p w14:paraId="473F4C94">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rPr>
            </w:pPr>
          </w:p>
          <w:p w14:paraId="607D39C0">
            <w:pPr>
              <w:keepNext w:val="0"/>
              <w:keepLines w:val="0"/>
              <w:pageBreakBefore w:val="0"/>
              <w:kinsoku/>
              <w:topLinePunct w:val="0"/>
              <w:autoSpaceDE/>
              <w:autoSpaceDN/>
              <w:bidi w:val="0"/>
              <w:spacing w:line="360" w:lineRule="auto"/>
              <w:ind w:firstLine="560" w:firstLineChars="2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4.本</w:t>
            </w:r>
            <w:r>
              <w:rPr>
                <w:rFonts w:ascii="Times New Roman" w:hAnsi="Times New Roman" w:eastAsia="仿宋"/>
                <w:sz w:val="28"/>
                <w:szCs w:val="28"/>
                <w:highlight w:val="none"/>
              </w:rPr>
              <w:t>专利</w:t>
            </w:r>
            <w:r>
              <w:rPr>
                <w:rFonts w:hint="default" w:ascii="Times New Roman" w:hAnsi="Times New Roman" w:eastAsia="仿宋"/>
                <w:sz w:val="28"/>
                <w:szCs w:val="28"/>
                <w:highlight w:val="none"/>
              </w:rPr>
              <w:t>（填写是</w:t>
            </w:r>
            <w:r>
              <w:rPr>
                <w:rFonts w:ascii="Times New Roman" w:hAnsi="Times New Roman" w:eastAsia="仿宋"/>
                <w:sz w:val="28"/>
                <w:szCs w:val="28"/>
                <w:highlight w:val="none"/>
              </w:rPr>
              <w:t>/</w:t>
            </w:r>
            <w:r>
              <w:rPr>
                <w:rFonts w:hint="default" w:ascii="Times New Roman" w:hAnsi="Times New Roman" w:eastAsia="仿宋"/>
                <w:sz w:val="28"/>
                <w:szCs w:val="28"/>
                <w:highlight w:val="none"/>
              </w:rPr>
              <w:t>否）为项目</w:t>
            </w:r>
            <w:r>
              <w:rPr>
                <w:rFonts w:ascii="Times New Roman" w:hAnsi="Times New Roman" w:eastAsia="仿宋"/>
                <w:sz w:val="28"/>
                <w:szCs w:val="28"/>
                <w:highlight w:val="none"/>
              </w:rPr>
              <w:t>的研究成果，经费从</w:t>
            </w:r>
            <w:r>
              <w:rPr>
                <w:rFonts w:hint="default" w:ascii="Times New Roman" w:hAnsi="Times New Roman" w:eastAsia="仿宋"/>
                <w:sz w:val="28"/>
                <w:szCs w:val="28"/>
                <w:highlight w:val="none"/>
              </w:rPr>
              <w:t>开支</w:t>
            </w:r>
            <w:r>
              <w:rPr>
                <w:rFonts w:ascii="Times New Roman" w:hAnsi="Times New Roman" w:eastAsia="仿宋"/>
                <w:sz w:val="28"/>
                <w:szCs w:val="28"/>
                <w:highlight w:val="none"/>
              </w:rPr>
              <w:t>。</w:t>
            </w:r>
            <w:r>
              <w:rPr>
                <w:rFonts w:hint="default" w:ascii="Times New Roman" w:hAnsi="Times New Roman" w:eastAsia="仿宋"/>
                <w:sz w:val="28"/>
                <w:szCs w:val="28"/>
                <w:highlight w:val="none"/>
              </w:rPr>
              <w:t>（说明</w:t>
            </w:r>
            <w:r>
              <w:rPr>
                <w:rFonts w:ascii="Times New Roman" w:hAnsi="Times New Roman" w:eastAsia="仿宋"/>
                <w:sz w:val="28"/>
                <w:szCs w:val="28"/>
                <w:highlight w:val="none"/>
              </w:rPr>
              <w:t>：如果</w:t>
            </w:r>
            <w:r>
              <w:rPr>
                <w:rFonts w:hint="default" w:ascii="Times New Roman" w:hAnsi="Times New Roman" w:eastAsia="仿宋"/>
                <w:sz w:val="28"/>
                <w:szCs w:val="28"/>
                <w:highlight w:val="none"/>
              </w:rPr>
              <w:t>非</w:t>
            </w:r>
            <w:r>
              <w:rPr>
                <w:rFonts w:ascii="Times New Roman" w:hAnsi="Times New Roman" w:eastAsia="仿宋"/>
                <w:sz w:val="28"/>
                <w:szCs w:val="28"/>
                <w:highlight w:val="none"/>
              </w:rPr>
              <w:t>科研项目</w:t>
            </w:r>
            <w:r>
              <w:rPr>
                <w:rFonts w:hint="default" w:ascii="Times New Roman" w:hAnsi="Times New Roman" w:eastAsia="仿宋"/>
                <w:sz w:val="28"/>
                <w:szCs w:val="28"/>
                <w:highlight w:val="none"/>
              </w:rPr>
              <w:t>预期完成</w:t>
            </w:r>
            <w:r>
              <w:rPr>
                <w:rFonts w:ascii="Times New Roman" w:hAnsi="Times New Roman" w:eastAsia="仿宋"/>
                <w:sz w:val="28"/>
                <w:szCs w:val="28"/>
                <w:highlight w:val="none"/>
              </w:rPr>
              <w:t>目标要求的专利成果，所在单位</w:t>
            </w:r>
            <w:r>
              <w:rPr>
                <w:rFonts w:hint="default" w:ascii="Times New Roman" w:hAnsi="Times New Roman" w:eastAsia="仿宋"/>
                <w:sz w:val="28"/>
                <w:szCs w:val="28"/>
                <w:highlight w:val="none"/>
              </w:rPr>
              <w:t>应</w:t>
            </w:r>
            <w:r>
              <w:rPr>
                <w:rFonts w:ascii="Times New Roman" w:hAnsi="Times New Roman" w:eastAsia="仿宋"/>
                <w:sz w:val="28"/>
                <w:szCs w:val="28"/>
                <w:highlight w:val="none"/>
              </w:rPr>
              <w:t>在意见栏中就专利</w:t>
            </w:r>
            <w:r>
              <w:rPr>
                <w:rFonts w:hint="default" w:ascii="Times New Roman" w:hAnsi="Times New Roman" w:eastAsia="仿宋"/>
                <w:sz w:val="28"/>
                <w:szCs w:val="28"/>
                <w:highlight w:val="none"/>
              </w:rPr>
              <w:t>申请</w:t>
            </w:r>
            <w:r>
              <w:rPr>
                <w:rFonts w:ascii="Times New Roman" w:hAnsi="Times New Roman" w:eastAsia="仿宋"/>
                <w:sz w:val="28"/>
                <w:szCs w:val="28"/>
                <w:highlight w:val="none"/>
              </w:rPr>
              <w:t>的必</w:t>
            </w:r>
            <w:r>
              <w:rPr>
                <w:rFonts w:hint="default" w:ascii="Times New Roman" w:hAnsi="Times New Roman" w:eastAsia="仿宋"/>
                <w:sz w:val="28"/>
                <w:szCs w:val="28"/>
                <w:highlight w:val="none"/>
              </w:rPr>
              <w:t>要</w:t>
            </w:r>
            <w:r>
              <w:rPr>
                <w:rFonts w:ascii="Times New Roman" w:hAnsi="Times New Roman" w:eastAsia="仿宋"/>
                <w:sz w:val="28"/>
                <w:szCs w:val="28"/>
                <w:highlight w:val="none"/>
              </w:rPr>
              <w:t>性</w:t>
            </w:r>
            <w:r>
              <w:rPr>
                <w:rFonts w:hint="default" w:ascii="Times New Roman" w:hAnsi="Times New Roman" w:eastAsia="仿宋"/>
                <w:sz w:val="28"/>
                <w:szCs w:val="28"/>
                <w:highlight w:val="none"/>
              </w:rPr>
              <w:t>、</w:t>
            </w:r>
            <w:r>
              <w:rPr>
                <w:rFonts w:ascii="Times New Roman" w:hAnsi="Times New Roman" w:eastAsia="仿宋"/>
                <w:sz w:val="28"/>
                <w:szCs w:val="28"/>
                <w:highlight w:val="none"/>
              </w:rPr>
              <w:t>是否同意</w:t>
            </w:r>
            <w:r>
              <w:rPr>
                <w:rFonts w:hint="default" w:ascii="Times New Roman" w:hAnsi="Times New Roman" w:eastAsia="仿宋"/>
                <w:sz w:val="28"/>
                <w:szCs w:val="28"/>
                <w:highlight w:val="none"/>
              </w:rPr>
              <w:t>专利</w:t>
            </w:r>
            <w:r>
              <w:rPr>
                <w:rFonts w:ascii="Times New Roman" w:hAnsi="Times New Roman" w:eastAsia="仿宋"/>
                <w:sz w:val="28"/>
                <w:szCs w:val="28"/>
                <w:highlight w:val="none"/>
              </w:rPr>
              <w:t>申请及经费开支等</w:t>
            </w:r>
            <w:r>
              <w:rPr>
                <w:rFonts w:hint="default" w:ascii="Times New Roman" w:hAnsi="Times New Roman" w:eastAsia="仿宋"/>
                <w:sz w:val="28"/>
                <w:szCs w:val="28"/>
                <w:highlight w:val="none"/>
              </w:rPr>
              <w:t>签署</w:t>
            </w:r>
            <w:r>
              <w:rPr>
                <w:rFonts w:ascii="Times New Roman" w:hAnsi="Times New Roman" w:eastAsia="仿宋"/>
                <w:sz w:val="28"/>
                <w:szCs w:val="28"/>
                <w:highlight w:val="none"/>
              </w:rPr>
              <w:t>意见。</w:t>
            </w:r>
            <w:r>
              <w:rPr>
                <w:rFonts w:hint="default" w:ascii="Times New Roman" w:hAnsi="Times New Roman" w:eastAsia="仿宋"/>
                <w:sz w:val="28"/>
                <w:szCs w:val="28"/>
                <w:highlight w:val="none"/>
              </w:rPr>
              <w:t>）</w:t>
            </w:r>
          </w:p>
          <w:p w14:paraId="6445B1B6">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p>
          <w:p w14:paraId="45B091CB">
            <w:pPr>
              <w:keepNext w:val="0"/>
              <w:keepLines w:val="0"/>
              <w:pageBreakBefore w:val="0"/>
              <w:kinsoku/>
              <w:wordWrap w:val="0"/>
              <w:topLinePunct w:val="0"/>
              <w:autoSpaceDE/>
              <w:autoSpaceDN/>
              <w:bidi w:val="0"/>
              <w:spacing w:line="360" w:lineRule="auto"/>
              <w:jc w:val="right"/>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声明</w:t>
            </w:r>
            <w:r>
              <w:rPr>
                <w:rFonts w:ascii="Times New Roman" w:hAnsi="Times New Roman" w:eastAsia="仿宋"/>
                <w:sz w:val="28"/>
                <w:szCs w:val="28"/>
                <w:highlight w:val="none"/>
              </w:rPr>
              <w:t>人</w:t>
            </w:r>
            <w:r>
              <w:rPr>
                <w:rFonts w:hint="default" w:ascii="Times New Roman" w:hAnsi="Times New Roman" w:eastAsia="仿宋"/>
                <w:sz w:val="28"/>
                <w:szCs w:val="28"/>
                <w:highlight w:val="none"/>
              </w:rPr>
              <w:t>（签章）</w:t>
            </w:r>
            <w:r>
              <w:rPr>
                <w:rFonts w:ascii="Times New Roman" w:hAnsi="Times New Roman" w:eastAsia="仿宋"/>
                <w:sz w:val="28"/>
                <w:szCs w:val="28"/>
                <w:highlight w:val="none"/>
              </w:rPr>
              <w:t>：</w:t>
            </w:r>
            <w:r>
              <w:rPr>
                <w:rFonts w:hint="default" w:ascii="Times New Roman" w:hAnsi="Times New Roman" w:eastAsia="仿宋"/>
                <w:sz w:val="28"/>
                <w:szCs w:val="28"/>
                <w:highlight w:val="none"/>
              </w:rPr>
              <w:t xml:space="preserve">          </w:t>
            </w:r>
          </w:p>
          <w:p w14:paraId="1768F173">
            <w:pPr>
              <w:keepNext w:val="0"/>
              <w:keepLines w:val="0"/>
              <w:pageBreakBefore w:val="0"/>
              <w:kinsoku/>
              <w:topLinePunct w:val="0"/>
              <w:autoSpaceDE/>
              <w:autoSpaceDN/>
              <w:bidi w:val="0"/>
              <w:spacing w:line="360" w:lineRule="auto"/>
              <w:jc w:val="right"/>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年    月    日</w:t>
            </w:r>
          </w:p>
        </w:tc>
      </w:tr>
      <w:tr w14:paraId="1B8F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trPr>
        <w:tc>
          <w:tcPr>
            <w:tcW w:w="709" w:type="pct"/>
            <w:vAlign w:val="center"/>
          </w:tcPr>
          <w:p w14:paraId="15276273">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所</w:t>
            </w:r>
            <w:r>
              <w:rPr>
                <w:rFonts w:ascii="Times New Roman" w:hAnsi="Times New Roman" w:eastAsia="仿宋"/>
                <w:sz w:val="28"/>
                <w:szCs w:val="28"/>
                <w:highlight w:val="none"/>
              </w:rPr>
              <w:t>在单位意见</w:t>
            </w:r>
          </w:p>
        </w:tc>
        <w:tc>
          <w:tcPr>
            <w:tcW w:w="4291" w:type="pct"/>
            <w:gridSpan w:val="3"/>
            <w:vAlign w:val="center"/>
          </w:tcPr>
          <w:p w14:paraId="342D7274">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p>
          <w:p w14:paraId="481FFA3B">
            <w:pPr>
              <w:keepNext w:val="0"/>
              <w:keepLines w:val="0"/>
              <w:pageBreakBefore w:val="0"/>
              <w:kinsoku/>
              <w:topLinePunct w:val="0"/>
              <w:autoSpaceDE/>
              <w:autoSpaceDN/>
              <w:bidi w:val="0"/>
              <w:spacing w:line="360" w:lineRule="auto"/>
              <w:ind w:firstLine="280" w:firstLineChars="1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负责</w:t>
            </w:r>
            <w:r>
              <w:rPr>
                <w:rFonts w:ascii="Times New Roman" w:hAnsi="Times New Roman" w:eastAsia="仿宋"/>
                <w:sz w:val="28"/>
                <w:szCs w:val="28"/>
                <w:highlight w:val="none"/>
              </w:rPr>
              <w:t>人：</w:t>
            </w:r>
            <w:r>
              <w:rPr>
                <w:rFonts w:hint="default" w:ascii="Times New Roman" w:hAnsi="Times New Roman" w:eastAsia="仿宋"/>
                <w:sz w:val="28"/>
                <w:szCs w:val="28"/>
                <w:highlight w:val="none"/>
              </w:rPr>
              <w:t xml:space="preserve">         单位</w:t>
            </w:r>
            <w:r>
              <w:rPr>
                <w:rFonts w:ascii="Times New Roman" w:hAnsi="Times New Roman" w:eastAsia="仿宋"/>
                <w:sz w:val="28"/>
                <w:szCs w:val="28"/>
                <w:highlight w:val="none"/>
              </w:rPr>
              <w:t>公章</w:t>
            </w:r>
            <w:r>
              <w:rPr>
                <w:rFonts w:hint="default" w:ascii="Times New Roman" w:hAnsi="Times New Roman" w:eastAsia="仿宋"/>
                <w:sz w:val="28"/>
                <w:szCs w:val="28"/>
                <w:highlight w:val="none"/>
              </w:rPr>
              <w:t>：</w:t>
            </w:r>
          </w:p>
          <w:p w14:paraId="67ED3DFB">
            <w:pPr>
              <w:keepNext w:val="0"/>
              <w:keepLines w:val="0"/>
              <w:pageBreakBefore w:val="0"/>
              <w:kinsoku/>
              <w:topLinePunct w:val="0"/>
              <w:autoSpaceDE/>
              <w:autoSpaceDN/>
              <w:bidi w:val="0"/>
              <w:spacing w:line="360" w:lineRule="auto"/>
              <w:ind w:firstLine="4480" w:firstLineChars="16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年    月    日</w:t>
            </w:r>
          </w:p>
        </w:tc>
      </w:tr>
      <w:tr w14:paraId="3564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709" w:type="pct"/>
            <w:vAlign w:val="center"/>
          </w:tcPr>
          <w:p w14:paraId="36344C71">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科学</w:t>
            </w:r>
          </w:p>
          <w:p w14:paraId="541F1472">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技术处</w:t>
            </w:r>
          </w:p>
          <w:p w14:paraId="749EBAC2">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r>
              <w:rPr>
                <w:rFonts w:ascii="Times New Roman" w:hAnsi="Times New Roman" w:eastAsia="仿宋"/>
                <w:sz w:val="28"/>
                <w:szCs w:val="28"/>
                <w:highlight w:val="none"/>
              </w:rPr>
              <w:t>意见</w:t>
            </w:r>
          </w:p>
        </w:tc>
        <w:tc>
          <w:tcPr>
            <w:tcW w:w="4291" w:type="pct"/>
            <w:gridSpan w:val="3"/>
            <w:vAlign w:val="center"/>
          </w:tcPr>
          <w:p w14:paraId="4CFA226D">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p>
          <w:p w14:paraId="60D80EB0">
            <w:pPr>
              <w:keepNext w:val="0"/>
              <w:keepLines w:val="0"/>
              <w:pageBreakBefore w:val="0"/>
              <w:kinsoku/>
              <w:topLinePunct w:val="0"/>
              <w:autoSpaceDE/>
              <w:autoSpaceDN/>
              <w:bidi w:val="0"/>
              <w:spacing w:line="360" w:lineRule="auto"/>
              <w:ind w:firstLine="280" w:firstLineChars="100"/>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负责</w:t>
            </w:r>
            <w:r>
              <w:rPr>
                <w:rFonts w:ascii="Times New Roman" w:hAnsi="Times New Roman" w:eastAsia="仿宋"/>
                <w:sz w:val="28"/>
                <w:szCs w:val="28"/>
                <w:highlight w:val="none"/>
              </w:rPr>
              <w:t>人：</w:t>
            </w:r>
            <w:r>
              <w:rPr>
                <w:rFonts w:hint="default" w:ascii="Times New Roman" w:hAnsi="Times New Roman" w:eastAsia="仿宋"/>
                <w:sz w:val="28"/>
                <w:szCs w:val="28"/>
                <w:highlight w:val="none"/>
              </w:rPr>
              <w:t xml:space="preserve">        单位</w:t>
            </w:r>
            <w:r>
              <w:rPr>
                <w:rFonts w:ascii="Times New Roman" w:hAnsi="Times New Roman" w:eastAsia="仿宋"/>
                <w:sz w:val="28"/>
                <w:szCs w:val="28"/>
                <w:highlight w:val="none"/>
              </w:rPr>
              <w:t>公章</w:t>
            </w:r>
            <w:r>
              <w:rPr>
                <w:rFonts w:hint="default" w:ascii="Times New Roman" w:hAnsi="Times New Roman" w:eastAsia="仿宋"/>
                <w:sz w:val="28"/>
                <w:szCs w:val="28"/>
                <w:highlight w:val="none"/>
              </w:rPr>
              <w:t>：</w:t>
            </w:r>
          </w:p>
          <w:p w14:paraId="46B2A50B">
            <w:pPr>
              <w:keepNext w:val="0"/>
              <w:keepLines w:val="0"/>
              <w:pageBreakBefore w:val="0"/>
              <w:kinsoku/>
              <w:topLinePunct w:val="0"/>
              <w:autoSpaceDE/>
              <w:autoSpaceDN/>
              <w:bidi w:val="0"/>
              <w:spacing w:line="360" w:lineRule="auto"/>
              <w:jc w:val="center"/>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年    月    日</w:t>
            </w:r>
          </w:p>
        </w:tc>
      </w:tr>
    </w:tbl>
    <w:p w14:paraId="2BE45094">
      <w:pPr>
        <w:keepNext w:val="0"/>
        <w:keepLines w:val="0"/>
        <w:pageBreakBefore w:val="0"/>
        <w:kinsoku/>
        <w:topLinePunct w:val="0"/>
        <w:autoSpaceDE/>
        <w:autoSpaceDN/>
        <w:bidi w:val="0"/>
        <w:spacing w:line="360" w:lineRule="auto"/>
        <w:textAlignment w:val="auto"/>
        <w:rPr>
          <w:rFonts w:hint="default" w:ascii="Times New Roman" w:hAnsi="Times New Roman" w:eastAsia="仿宋"/>
          <w:sz w:val="28"/>
          <w:szCs w:val="28"/>
          <w:highlight w:val="none"/>
        </w:rPr>
      </w:pPr>
      <w:r>
        <w:rPr>
          <w:rFonts w:hint="default" w:ascii="Times New Roman" w:hAnsi="Times New Roman" w:eastAsia="仿宋"/>
          <w:sz w:val="28"/>
          <w:szCs w:val="28"/>
          <w:highlight w:val="none"/>
        </w:rPr>
        <w:t>备注</w:t>
      </w:r>
      <w:r>
        <w:rPr>
          <w:rFonts w:ascii="Times New Roman" w:hAnsi="Times New Roman" w:eastAsia="仿宋"/>
          <w:sz w:val="28"/>
          <w:szCs w:val="28"/>
          <w:highlight w:val="none"/>
        </w:rPr>
        <w:t>：</w:t>
      </w:r>
      <w:r>
        <w:rPr>
          <w:rFonts w:hint="default" w:ascii="Times New Roman" w:hAnsi="Times New Roman" w:eastAsia="仿宋"/>
          <w:sz w:val="28"/>
          <w:szCs w:val="28"/>
          <w:highlight w:val="none"/>
        </w:rPr>
        <w:t>“□”处打</w:t>
      </w:r>
      <w:r>
        <w:rPr>
          <w:rFonts w:ascii="Times New Roman" w:hAnsi="Times New Roman" w:eastAsia="仿宋"/>
          <w:sz w:val="28"/>
          <w:szCs w:val="28"/>
          <w:highlight w:val="none"/>
        </w:rPr>
        <w:t>“√”</w:t>
      </w:r>
      <w:r>
        <w:rPr>
          <w:rFonts w:hint="default" w:ascii="Times New Roman" w:hAnsi="Times New Roman" w:eastAsia="仿宋"/>
          <w:sz w:val="28"/>
          <w:szCs w:val="28"/>
          <w:highlight w:val="none"/>
        </w:rPr>
        <w:t>。</w:t>
      </w:r>
    </w:p>
    <w:p w14:paraId="45F42DF3">
      <w:pPr>
        <w:keepNext w:val="0"/>
        <w:keepLines w:val="0"/>
        <w:pageBreakBefore w:val="0"/>
        <w:shd w:val="clear" w:color="auto" w:fill="FFFFFF"/>
        <w:kinsoku/>
        <w:topLinePunct w:val="0"/>
        <w:autoSpaceDE/>
        <w:autoSpaceDN/>
        <w:bidi w:val="0"/>
        <w:spacing w:line="360" w:lineRule="auto"/>
        <w:textAlignment w:val="auto"/>
        <w:rPr>
          <w:rFonts w:hint="default" w:ascii="Times New Roman" w:hAnsi="Times New Roman" w:eastAsia="黑体"/>
          <w:highlight w:val="none"/>
        </w:rPr>
      </w:pPr>
      <w:r>
        <w:rPr>
          <w:rFonts w:hint="default" w:ascii="Times New Roman" w:hAnsi="Times New Roman" w:eastAsia="黑体"/>
          <w:highlight w:val="none"/>
        </w:rPr>
        <w:t>附件4</w:t>
      </w:r>
    </w:p>
    <w:p w14:paraId="0C9F0768">
      <w:pPr>
        <w:keepNext w:val="0"/>
        <w:keepLines w:val="0"/>
        <w:pageBreakBefore w:val="0"/>
        <w:kinsoku/>
        <w:topLinePunct w:val="0"/>
        <w:autoSpaceDE/>
        <w:autoSpaceDN/>
        <w:bidi w:val="0"/>
        <w:spacing w:line="360" w:lineRule="auto"/>
        <w:jc w:val="center"/>
        <w:textAlignment w:val="auto"/>
        <w:outlineLvl w:val="0"/>
        <w:rPr>
          <w:rFonts w:hint="default" w:ascii="Times New Roman" w:hAnsi="Times New Roman" w:cs="Times New Roman"/>
          <w:b/>
          <w:color w:val="000000"/>
          <w:kern w:val="44"/>
          <w:sz w:val="44"/>
          <w:szCs w:val="44"/>
          <w:highlight w:val="none"/>
          <w:lang w:val="zh-CN"/>
        </w:rPr>
      </w:pPr>
      <w:r>
        <w:rPr>
          <w:rFonts w:hint="default" w:ascii="Times New Roman" w:hAnsi="Times New Roman" w:cs="Times New Roman"/>
          <w:b/>
          <w:color w:val="000000"/>
          <w:kern w:val="44"/>
          <w:sz w:val="44"/>
          <w:szCs w:val="44"/>
          <w:highlight w:val="none"/>
          <w:lang w:val="zh-CN"/>
        </w:rPr>
        <w:t>专家论证意见表</w:t>
      </w:r>
    </w:p>
    <w:p w14:paraId="15371CD3">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24"/>
          <w:szCs w:val="44"/>
          <w:highlight w:val="none"/>
        </w:rPr>
      </w:pPr>
    </w:p>
    <w:tbl>
      <w:tblPr>
        <w:tblStyle w:val="4"/>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6"/>
      </w:tblGrid>
      <w:tr w14:paraId="0443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5" w:hRule="atLeast"/>
          <w:jc w:val="center"/>
        </w:trPr>
        <w:tc>
          <w:tcPr>
            <w:tcW w:w="8946" w:type="dxa"/>
          </w:tcPr>
          <w:p w14:paraId="795185DE">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r>
              <w:rPr>
                <w:rFonts w:hint="default" w:ascii="Times New Roman" w:hAnsi="Times New Roman" w:eastAsia="仿宋"/>
                <w:sz w:val="30"/>
                <w:szCs w:val="30"/>
                <w:highlight w:val="none"/>
              </w:rPr>
              <w:t>专家认证意见（对</w:t>
            </w:r>
            <w:r>
              <w:rPr>
                <w:rFonts w:ascii="Times New Roman" w:hAnsi="Times New Roman" w:eastAsia="仿宋"/>
                <w:sz w:val="30"/>
                <w:szCs w:val="30"/>
                <w:highlight w:val="none"/>
              </w:rPr>
              <w:t>专利</w:t>
            </w:r>
            <w:r>
              <w:rPr>
                <w:rFonts w:hint="default" w:ascii="Times New Roman" w:hAnsi="Times New Roman" w:eastAsia="仿宋"/>
                <w:sz w:val="30"/>
                <w:szCs w:val="30"/>
                <w:highlight w:val="none"/>
              </w:rPr>
              <w:t>申请</w:t>
            </w:r>
            <w:r>
              <w:rPr>
                <w:rFonts w:ascii="Times New Roman" w:hAnsi="Times New Roman" w:eastAsia="仿宋"/>
                <w:sz w:val="30"/>
                <w:szCs w:val="30"/>
                <w:highlight w:val="none"/>
              </w:rPr>
              <w:t>的</w:t>
            </w:r>
            <w:r>
              <w:rPr>
                <w:rFonts w:hint="default" w:ascii="Times New Roman" w:hAnsi="Times New Roman" w:eastAsia="仿宋"/>
                <w:sz w:val="30"/>
                <w:szCs w:val="30"/>
                <w:highlight w:val="none"/>
              </w:rPr>
              <w:t>必要</w:t>
            </w:r>
            <w:r>
              <w:rPr>
                <w:rFonts w:ascii="Times New Roman" w:hAnsi="Times New Roman" w:eastAsia="仿宋"/>
                <w:sz w:val="30"/>
                <w:szCs w:val="30"/>
                <w:highlight w:val="none"/>
              </w:rPr>
              <w:t>性、</w:t>
            </w:r>
            <w:r>
              <w:rPr>
                <w:rFonts w:hint="default" w:ascii="Times New Roman" w:hAnsi="Times New Roman" w:eastAsia="仿宋"/>
                <w:sz w:val="30"/>
                <w:szCs w:val="30"/>
                <w:highlight w:val="none"/>
              </w:rPr>
              <w:t>与</w:t>
            </w:r>
            <w:r>
              <w:rPr>
                <w:rFonts w:ascii="Times New Roman" w:hAnsi="Times New Roman" w:eastAsia="仿宋"/>
                <w:sz w:val="30"/>
                <w:szCs w:val="30"/>
                <w:highlight w:val="none"/>
              </w:rPr>
              <w:t>研究项目的</w:t>
            </w:r>
            <w:r>
              <w:rPr>
                <w:rFonts w:hint="default" w:ascii="Times New Roman" w:hAnsi="Times New Roman" w:eastAsia="仿宋"/>
                <w:sz w:val="30"/>
                <w:szCs w:val="30"/>
                <w:highlight w:val="none"/>
              </w:rPr>
              <w:t>关联</w:t>
            </w:r>
            <w:r>
              <w:rPr>
                <w:rFonts w:ascii="Times New Roman" w:hAnsi="Times New Roman" w:eastAsia="仿宋"/>
                <w:sz w:val="30"/>
                <w:szCs w:val="30"/>
                <w:highlight w:val="none"/>
              </w:rPr>
              <w:t>性、</w:t>
            </w:r>
            <w:r>
              <w:rPr>
                <w:rFonts w:hint="default" w:ascii="Times New Roman" w:hAnsi="Times New Roman" w:eastAsia="仿宋" w:cs="Times New Roman"/>
                <w:highlight w:val="none"/>
              </w:rPr>
              <w:t>专利质量</w:t>
            </w:r>
            <w:r>
              <w:rPr>
                <w:rFonts w:ascii="Times New Roman" w:hAnsi="Times New Roman" w:eastAsia="仿宋"/>
                <w:sz w:val="30"/>
                <w:szCs w:val="30"/>
                <w:highlight w:val="none"/>
              </w:rPr>
              <w:t>及应用前景</w:t>
            </w:r>
            <w:r>
              <w:rPr>
                <w:rFonts w:hint="default" w:ascii="Times New Roman" w:hAnsi="Times New Roman" w:eastAsia="仿宋"/>
                <w:sz w:val="30"/>
                <w:szCs w:val="30"/>
                <w:highlight w:val="none"/>
              </w:rPr>
              <w:t>等方面进行论证）</w:t>
            </w:r>
          </w:p>
          <w:p w14:paraId="367F29B0">
            <w:pPr>
              <w:keepNext w:val="0"/>
              <w:keepLines w:val="0"/>
              <w:pageBreakBefore w:val="0"/>
              <w:tabs>
                <w:tab w:val="left" w:pos="2055"/>
              </w:tabs>
              <w:kinsoku/>
              <w:topLinePunct w:val="0"/>
              <w:autoSpaceDE/>
              <w:autoSpaceDN/>
              <w:bidi w:val="0"/>
              <w:spacing w:line="360" w:lineRule="auto"/>
              <w:ind w:firstLine="600" w:firstLineChars="200"/>
              <w:textAlignment w:val="auto"/>
              <w:rPr>
                <w:rFonts w:eastAsia="仿宋"/>
                <w:sz w:val="30"/>
                <w:szCs w:val="30"/>
                <w:highlight w:val="none"/>
              </w:rPr>
            </w:pPr>
          </w:p>
          <w:p w14:paraId="0D48DA3D">
            <w:pPr>
              <w:keepNext w:val="0"/>
              <w:keepLines w:val="0"/>
              <w:pageBreakBefore w:val="0"/>
              <w:tabs>
                <w:tab w:val="left" w:pos="2055"/>
              </w:tabs>
              <w:kinsoku/>
              <w:topLinePunct w:val="0"/>
              <w:autoSpaceDE/>
              <w:autoSpaceDN/>
              <w:bidi w:val="0"/>
              <w:spacing w:line="360" w:lineRule="auto"/>
              <w:ind w:firstLine="600" w:firstLineChars="200"/>
              <w:textAlignment w:val="auto"/>
              <w:rPr>
                <w:rFonts w:eastAsia="仿宋"/>
                <w:sz w:val="30"/>
                <w:szCs w:val="30"/>
                <w:highlight w:val="none"/>
              </w:rPr>
            </w:pPr>
          </w:p>
          <w:p w14:paraId="6236BAA6">
            <w:pPr>
              <w:keepNext w:val="0"/>
              <w:keepLines w:val="0"/>
              <w:pageBreakBefore w:val="0"/>
              <w:tabs>
                <w:tab w:val="left" w:pos="2055"/>
              </w:tabs>
              <w:kinsoku/>
              <w:topLinePunct w:val="0"/>
              <w:autoSpaceDE/>
              <w:autoSpaceDN/>
              <w:bidi w:val="0"/>
              <w:spacing w:line="360" w:lineRule="auto"/>
              <w:ind w:firstLine="600" w:firstLineChars="200"/>
              <w:textAlignment w:val="auto"/>
              <w:rPr>
                <w:rFonts w:eastAsia="仿宋"/>
                <w:sz w:val="30"/>
                <w:szCs w:val="30"/>
                <w:highlight w:val="none"/>
              </w:rPr>
            </w:pPr>
          </w:p>
          <w:p w14:paraId="72725A8A">
            <w:pPr>
              <w:keepNext w:val="0"/>
              <w:keepLines w:val="0"/>
              <w:pageBreakBefore w:val="0"/>
              <w:tabs>
                <w:tab w:val="left" w:pos="2055"/>
              </w:tabs>
              <w:kinsoku/>
              <w:topLinePunct w:val="0"/>
              <w:autoSpaceDE/>
              <w:autoSpaceDN/>
              <w:bidi w:val="0"/>
              <w:spacing w:line="360" w:lineRule="auto"/>
              <w:ind w:firstLine="600" w:firstLineChars="200"/>
              <w:textAlignment w:val="auto"/>
              <w:rPr>
                <w:rFonts w:eastAsia="仿宋"/>
                <w:sz w:val="30"/>
                <w:szCs w:val="30"/>
                <w:highlight w:val="none"/>
              </w:rPr>
            </w:pPr>
          </w:p>
          <w:p w14:paraId="302AC3CE">
            <w:pPr>
              <w:keepNext w:val="0"/>
              <w:keepLines w:val="0"/>
              <w:pageBreakBefore w:val="0"/>
              <w:tabs>
                <w:tab w:val="left" w:pos="2055"/>
              </w:tabs>
              <w:kinsoku/>
              <w:topLinePunct w:val="0"/>
              <w:autoSpaceDE/>
              <w:autoSpaceDN/>
              <w:bidi w:val="0"/>
              <w:spacing w:line="360" w:lineRule="auto"/>
              <w:ind w:firstLine="600" w:firstLineChars="200"/>
              <w:textAlignment w:val="auto"/>
              <w:rPr>
                <w:rFonts w:eastAsia="仿宋"/>
                <w:sz w:val="30"/>
                <w:szCs w:val="30"/>
                <w:highlight w:val="none"/>
              </w:rPr>
            </w:pPr>
          </w:p>
        </w:tc>
      </w:tr>
      <w:tr w14:paraId="4120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4" w:hRule="atLeast"/>
          <w:jc w:val="center"/>
        </w:trPr>
        <w:tc>
          <w:tcPr>
            <w:tcW w:w="8946" w:type="dxa"/>
          </w:tcPr>
          <w:p w14:paraId="38E5866D">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r>
              <w:rPr>
                <w:rFonts w:hint="default" w:ascii="Times New Roman" w:hAnsi="Times New Roman" w:eastAsia="仿宋"/>
                <w:sz w:val="30"/>
                <w:szCs w:val="30"/>
                <w:highlight w:val="none"/>
              </w:rPr>
              <w:t>专家组组长（签名）：</w:t>
            </w:r>
          </w:p>
          <w:p w14:paraId="5F4B8AD1">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p>
          <w:p w14:paraId="6771851B">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r>
              <w:rPr>
                <w:rFonts w:hint="default" w:ascii="Times New Roman" w:hAnsi="Times New Roman" w:eastAsia="仿宋"/>
                <w:sz w:val="30"/>
                <w:szCs w:val="30"/>
                <w:highlight w:val="none"/>
              </w:rPr>
              <w:t>专家组成员（签名）：</w:t>
            </w:r>
          </w:p>
          <w:p w14:paraId="311F6DA3">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p>
          <w:p w14:paraId="13E42935">
            <w:pPr>
              <w:keepNext w:val="0"/>
              <w:keepLines w:val="0"/>
              <w:pageBreakBefore w:val="0"/>
              <w:tabs>
                <w:tab w:val="left" w:pos="2055"/>
              </w:tabs>
              <w:kinsoku/>
              <w:topLinePunct w:val="0"/>
              <w:autoSpaceDE/>
              <w:autoSpaceDN/>
              <w:bidi w:val="0"/>
              <w:spacing w:line="360" w:lineRule="auto"/>
              <w:textAlignment w:val="auto"/>
              <w:rPr>
                <w:rFonts w:hint="default" w:ascii="Times New Roman" w:hAnsi="Times New Roman" w:eastAsia="仿宋"/>
                <w:sz w:val="30"/>
                <w:szCs w:val="30"/>
                <w:highlight w:val="none"/>
              </w:rPr>
            </w:pPr>
          </w:p>
          <w:p w14:paraId="68601F60">
            <w:pPr>
              <w:keepNext w:val="0"/>
              <w:keepLines w:val="0"/>
              <w:pageBreakBefore w:val="0"/>
              <w:tabs>
                <w:tab w:val="left" w:pos="2055"/>
              </w:tabs>
              <w:kinsoku/>
              <w:topLinePunct w:val="0"/>
              <w:autoSpaceDE/>
              <w:autoSpaceDN/>
              <w:bidi w:val="0"/>
              <w:spacing w:line="360" w:lineRule="auto"/>
              <w:ind w:firstLine="4800" w:firstLineChars="1600"/>
              <w:textAlignment w:val="auto"/>
              <w:rPr>
                <w:rFonts w:eastAsia="仿宋_GB2312"/>
                <w:szCs w:val="20"/>
                <w:highlight w:val="none"/>
              </w:rPr>
            </w:pPr>
            <w:r>
              <w:rPr>
                <w:rFonts w:hint="default" w:ascii="Times New Roman" w:hAnsi="Times New Roman" w:eastAsia="仿宋"/>
                <w:sz w:val="30"/>
                <w:szCs w:val="30"/>
                <w:highlight w:val="none"/>
              </w:rPr>
              <w:t xml:space="preserve">          年   月   日</w:t>
            </w:r>
          </w:p>
        </w:tc>
      </w:tr>
    </w:tbl>
    <w:p w14:paraId="30C8ECDA">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_GB2312"/>
          <w:b/>
          <w:sz w:val="44"/>
          <w:szCs w:val="44"/>
          <w:highlight w:val="none"/>
        </w:rPr>
      </w:pPr>
    </w:p>
    <w:p w14:paraId="1E1A01A7">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44"/>
          <w:szCs w:val="44"/>
          <w:highlight w:val="none"/>
        </w:rPr>
      </w:pPr>
    </w:p>
    <w:p w14:paraId="1A2A174A">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44"/>
          <w:szCs w:val="44"/>
          <w:highlight w:val="none"/>
        </w:rPr>
      </w:pPr>
    </w:p>
    <w:p w14:paraId="7064B7A1">
      <w:pPr>
        <w:keepNext w:val="0"/>
        <w:keepLines w:val="0"/>
        <w:pageBreakBefore w:val="0"/>
        <w:kinsoku/>
        <w:topLinePunct w:val="0"/>
        <w:autoSpaceDE/>
        <w:autoSpaceDN/>
        <w:bidi w:val="0"/>
        <w:spacing w:line="360" w:lineRule="auto"/>
        <w:textAlignment w:val="auto"/>
        <w:rPr>
          <w:rFonts w:hint="default" w:ascii="Times New Roman" w:hAnsi="Times New Roman" w:cs="Times New Roman"/>
          <w:b/>
          <w:sz w:val="44"/>
          <w:szCs w:val="44"/>
          <w:highlight w:val="none"/>
        </w:rPr>
      </w:pPr>
      <w:r>
        <w:rPr>
          <w:rFonts w:hint="default" w:ascii="Times New Roman" w:hAnsi="Times New Roman" w:cs="Times New Roman"/>
          <w:b/>
          <w:sz w:val="44"/>
          <w:szCs w:val="44"/>
          <w:highlight w:val="none"/>
        </w:rPr>
        <w:br w:type="page"/>
      </w:r>
    </w:p>
    <w:p w14:paraId="625398D2">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44"/>
          <w:szCs w:val="44"/>
          <w:highlight w:val="none"/>
        </w:rPr>
      </w:pPr>
    </w:p>
    <w:p w14:paraId="51DA82C3">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44"/>
          <w:szCs w:val="44"/>
          <w:highlight w:val="none"/>
        </w:rPr>
      </w:pPr>
    </w:p>
    <w:p w14:paraId="3C3315EF">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cs="Times New Roman"/>
          <w:b/>
          <w:sz w:val="44"/>
          <w:szCs w:val="44"/>
          <w:highlight w:val="none"/>
        </w:rPr>
      </w:pPr>
      <w:r>
        <w:rPr>
          <w:rFonts w:hint="default" w:ascii="Times New Roman" w:hAnsi="Times New Roman" w:cs="Times New Roman"/>
          <w:b/>
          <w:sz w:val="44"/>
          <w:szCs w:val="44"/>
          <w:highlight w:val="none"/>
        </w:rPr>
        <w:t>论证</w:t>
      </w:r>
      <w:r>
        <w:rPr>
          <w:rFonts w:ascii="Times New Roman" w:hAnsi="Times New Roman" w:cs="Times New Roman"/>
          <w:b/>
          <w:sz w:val="44"/>
          <w:szCs w:val="44"/>
          <w:highlight w:val="none"/>
        </w:rPr>
        <w:t>专家名单</w:t>
      </w:r>
    </w:p>
    <w:tbl>
      <w:tblPr>
        <w:tblStyle w:val="4"/>
        <w:tblpPr w:leftFromText="180" w:rightFromText="180" w:vertAnchor="text" w:horzAnchor="margin" w:tblpXSpec="center" w:tblpY="220"/>
        <w:tblW w:w="50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1726"/>
        <w:gridCol w:w="1726"/>
        <w:gridCol w:w="1726"/>
        <w:gridCol w:w="1727"/>
      </w:tblGrid>
      <w:tr w14:paraId="1D42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448FECC7">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r>
              <w:rPr>
                <w:rFonts w:hint="default" w:ascii="Times New Roman" w:hAnsi="Times New Roman" w:eastAsia="仿宋"/>
                <w:highlight w:val="none"/>
              </w:rPr>
              <w:t>姓名</w:t>
            </w:r>
          </w:p>
        </w:tc>
        <w:tc>
          <w:tcPr>
            <w:tcW w:w="1000" w:type="pct"/>
            <w:vAlign w:val="center"/>
          </w:tcPr>
          <w:p w14:paraId="684C2F3C">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r>
              <w:rPr>
                <w:rFonts w:hint="default" w:ascii="Times New Roman" w:hAnsi="Times New Roman" w:eastAsia="仿宋"/>
                <w:highlight w:val="none"/>
              </w:rPr>
              <w:t>单位</w:t>
            </w:r>
          </w:p>
        </w:tc>
        <w:tc>
          <w:tcPr>
            <w:tcW w:w="1000" w:type="pct"/>
            <w:vAlign w:val="center"/>
          </w:tcPr>
          <w:p w14:paraId="3E6CFEA5">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r>
              <w:rPr>
                <w:rFonts w:hint="default" w:ascii="Times New Roman" w:hAnsi="Times New Roman" w:eastAsia="仿宋"/>
                <w:highlight w:val="none"/>
              </w:rPr>
              <w:t>职称</w:t>
            </w:r>
          </w:p>
        </w:tc>
        <w:tc>
          <w:tcPr>
            <w:tcW w:w="1000" w:type="pct"/>
            <w:vAlign w:val="center"/>
          </w:tcPr>
          <w:p w14:paraId="268C1772">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r>
              <w:rPr>
                <w:rFonts w:hint="default" w:ascii="Times New Roman" w:hAnsi="Times New Roman" w:eastAsia="仿宋"/>
                <w:highlight w:val="none"/>
              </w:rPr>
              <w:t>研究</w:t>
            </w:r>
            <w:r>
              <w:rPr>
                <w:rFonts w:ascii="Times New Roman" w:hAnsi="Times New Roman" w:eastAsia="仿宋"/>
                <w:highlight w:val="none"/>
              </w:rPr>
              <w:t>领域</w:t>
            </w:r>
          </w:p>
        </w:tc>
        <w:tc>
          <w:tcPr>
            <w:tcW w:w="1000" w:type="pct"/>
            <w:vAlign w:val="center"/>
          </w:tcPr>
          <w:p w14:paraId="205CA4E6">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r>
              <w:rPr>
                <w:rFonts w:hint="default" w:ascii="Times New Roman" w:hAnsi="Times New Roman" w:eastAsia="仿宋"/>
                <w:highlight w:val="none"/>
              </w:rPr>
              <w:t>联系</w:t>
            </w:r>
            <w:r>
              <w:rPr>
                <w:rFonts w:ascii="Times New Roman" w:hAnsi="Times New Roman" w:eastAsia="仿宋"/>
                <w:highlight w:val="none"/>
              </w:rPr>
              <w:t>电话</w:t>
            </w:r>
          </w:p>
        </w:tc>
      </w:tr>
      <w:tr w14:paraId="7801A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CC007DD">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0F817441">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00E87483">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03BAD66E">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4FB9DB96">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r>
      <w:tr w14:paraId="761A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4F167511">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62176A62">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480CEDC6">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19459D47">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64F92BB9">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r>
      <w:tr w14:paraId="2C05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78AD07E7">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5096069B">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3E7AE5BC">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59C7926B">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c>
          <w:tcPr>
            <w:tcW w:w="1000" w:type="pct"/>
            <w:vAlign w:val="center"/>
          </w:tcPr>
          <w:p w14:paraId="23B1F636">
            <w:pPr>
              <w:keepNext w:val="0"/>
              <w:keepLines w:val="0"/>
              <w:pageBreakBefore w:val="0"/>
              <w:tabs>
                <w:tab w:val="left" w:pos="2055"/>
              </w:tabs>
              <w:kinsoku/>
              <w:topLinePunct w:val="0"/>
              <w:autoSpaceDE/>
              <w:autoSpaceDN/>
              <w:bidi w:val="0"/>
              <w:spacing w:line="360" w:lineRule="auto"/>
              <w:jc w:val="center"/>
              <w:textAlignment w:val="auto"/>
              <w:rPr>
                <w:rFonts w:hint="default" w:ascii="Times New Roman" w:hAnsi="Times New Roman" w:eastAsia="仿宋"/>
                <w:highlight w:val="none"/>
              </w:rPr>
            </w:pPr>
          </w:p>
        </w:tc>
      </w:tr>
    </w:tbl>
    <w:p w14:paraId="07C00800">
      <w:pPr>
        <w:keepNext w:val="0"/>
        <w:keepLines w:val="0"/>
        <w:pageBreakBefore w:val="0"/>
        <w:kinsoku/>
        <w:topLinePunct w:val="0"/>
        <w:autoSpaceDE/>
        <w:autoSpaceDN/>
        <w:bidi w:val="0"/>
        <w:spacing w:line="360" w:lineRule="auto"/>
        <w:textAlignment w:val="auto"/>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B9EBE6-6174-44A8-8300-D0E697126B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F1F5060-374A-40F1-B8FC-C7328F213092}"/>
  </w:font>
  <w:font w:name="仿宋_GB2312">
    <w:altName w:val="仿宋"/>
    <w:panose1 w:val="02010609030101010101"/>
    <w:charset w:val="86"/>
    <w:family w:val="modern"/>
    <w:pitch w:val="default"/>
    <w:sig w:usb0="00000000" w:usb1="00000000" w:usb2="00000000" w:usb3="00000000" w:csb0="00040000" w:csb1="00000000"/>
    <w:embedRegular r:id="rId3" w:fontKey="{0C399E0E-37B2-4072-B76A-7A4ED497BFD4}"/>
  </w:font>
  <w:font w:name="仿宋">
    <w:panose1 w:val="02010609060101010101"/>
    <w:charset w:val="86"/>
    <w:family w:val="modern"/>
    <w:pitch w:val="default"/>
    <w:sig w:usb0="800002BF" w:usb1="38CF7CFA" w:usb2="00000016" w:usb3="00000000" w:csb0="00040001" w:csb1="00000000"/>
    <w:embedRegular r:id="rId4" w:fontKey="{3DC14DD6-EA59-44AB-9602-8D9B5EB13824}"/>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5" w:fontKey="{1D333AF5-6C31-49D9-989B-D74C0DFA5AC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79B6">
    <w:pPr>
      <w:pStyle w:val="2"/>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27</w:t>
    </w:r>
    <w:r>
      <w:rPr>
        <w:rFonts w:ascii="宋体" w:hAnsi="宋体"/>
        <w:sz w:val="28"/>
        <w:szCs w:val="28"/>
      </w:rPr>
      <w:fldChar w:fldCharType="end"/>
    </w:r>
    <w:r>
      <w:rPr>
        <w:rFonts w:ascii="宋体" w:hAnsi="宋体"/>
        <w:sz w:val="28"/>
        <w:szCs w:val="28"/>
      </w:rPr>
      <w:t xml:space="preserve"> —</w:t>
    </w:r>
  </w:p>
  <w:p w14:paraId="56E263B2">
    <w:pPr>
      <w:pStyle w:val="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D1662">
    <w:pPr>
      <w:pStyle w:val="2"/>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28</w:t>
    </w:r>
    <w:r>
      <w:rPr>
        <w:rFonts w:ascii="宋体" w:hAnsi="宋体"/>
        <w:sz w:val="28"/>
        <w:szCs w:val="28"/>
      </w:rPr>
      <w:fldChar w:fldCharType="end"/>
    </w:r>
    <w:r>
      <w:rPr>
        <w:rFonts w:ascii="宋体" w:hAnsi="宋体"/>
        <w:sz w:val="28"/>
        <w:szCs w:val="28"/>
      </w:rPr>
      <w:t xml:space="preserve"> —</w:t>
    </w:r>
  </w:p>
  <w:p w14:paraId="54948CBD">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644B8">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7881F7"/>
    <w:multiLevelType w:val="singleLevel"/>
    <w:tmpl w:val="977881F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6D6F79"/>
    <w:rsid w:val="00495B17"/>
    <w:rsid w:val="00907F7C"/>
    <w:rsid w:val="00D834FA"/>
    <w:rsid w:val="00E01323"/>
    <w:rsid w:val="00F248AF"/>
    <w:rsid w:val="02573991"/>
    <w:rsid w:val="025A7D7D"/>
    <w:rsid w:val="03EF02F2"/>
    <w:rsid w:val="047E3360"/>
    <w:rsid w:val="07A652EE"/>
    <w:rsid w:val="07CD4A8D"/>
    <w:rsid w:val="07DA0852"/>
    <w:rsid w:val="08865F22"/>
    <w:rsid w:val="08A72DB3"/>
    <w:rsid w:val="08B1307C"/>
    <w:rsid w:val="08FE50F7"/>
    <w:rsid w:val="0A8027BD"/>
    <w:rsid w:val="0B7C2872"/>
    <w:rsid w:val="0BF62CDB"/>
    <w:rsid w:val="0CBC7417"/>
    <w:rsid w:val="0D8D1FC0"/>
    <w:rsid w:val="0DA553F4"/>
    <w:rsid w:val="0F112509"/>
    <w:rsid w:val="0FA51DC9"/>
    <w:rsid w:val="12EA0519"/>
    <w:rsid w:val="12FA6FB1"/>
    <w:rsid w:val="13924D56"/>
    <w:rsid w:val="13CE48E4"/>
    <w:rsid w:val="1448262C"/>
    <w:rsid w:val="147D29A4"/>
    <w:rsid w:val="150B7B70"/>
    <w:rsid w:val="15AC22F5"/>
    <w:rsid w:val="16C84D52"/>
    <w:rsid w:val="192325ED"/>
    <w:rsid w:val="193E3E78"/>
    <w:rsid w:val="19504BED"/>
    <w:rsid w:val="1A9469A8"/>
    <w:rsid w:val="1C517622"/>
    <w:rsid w:val="1DC86D0D"/>
    <w:rsid w:val="1E0625DA"/>
    <w:rsid w:val="1EF04FDA"/>
    <w:rsid w:val="20E272AB"/>
    <w:rsid w:val="212543FD"/>
    <w:rsid w:val="22804BDE"/>
    <w:rsid w:val="22AD01D3"/>
    <w:rsid w:val="24A91E05"/>
    <w:rsid w:val="251640ED"/>
    <w:rsid w:val="25443C3A"/>
    <w:rsid w:val="26FB72CB"/>
    <w:rsid w:val="2746318F"/>
    <w:rsid w:val="27EC6354"/>
    <w:rsid w:val="28780B17"/>
    <w:rsid w:val="29131E1F"/>
    <w:rsid w:val="29DA667D"/>
    <w:rsid w:val="2A4D1FBD"/>
    <w:rsid w:val="2A5E3981"/>
    <w:rsid w:val="2B223A87"/>
    <w:rsid w:val="2C7A7AA5"/>
    <w:rsid w:val="2F371672"/>
    <w:rsid w:val="30277B77"/>
    <w:rsid w:val="30D747A6"/>
    <w:rsid w:val="315551B4"/>
    <w:rsid w:val="31AF7474"/>
    <w:rsid w:val="32286108"/>
    <w:rsid w:val="32525C84"/>
    <w:rsid w:val="348F6601"/>
    <w:rsid w:val="35A96581"/>
    <w:rsid w:val="37443832"/>
    <w:rsid w:val="385F2AC6"/>
    <w:rsid w:val="38BC5D52"/>
    <w:rsid w:val="39707FC4"/>
    <w:rsid w:val="3A7A22C0"/>
    <w:rsid w:val="3B385906"/>
    <w:rsid w:val="3F2B2574"/>
    <w:rsid w:val="3F971636"/>
    <w:rsid w:val="3FC50B22"/>
    <w:rsid w:val="3FD46A1A"/>
    <w:rsid w:val="408F24BE"/>
    <w:rsid w:val="40FD7EA9"/>
    <w:rsid w:val="458712A0"/>
    <w:rsid w:val="45AE613E"/>
    <w:rsid w:val="465D258D"/>
    <w:rsid w:val="46911A3C"/>
    <w:rsid w:val="47B51E69"/>
    <w:rsid w:val="47E57C7C"/>
    <w:rsid w:val="48E652EC"/>
    <w:rsid w:val="493E02B7"/>
    <w:rsid w:val="49622A46"/>
    <w:rsid w:val="4ADA18A8"/>
    <w:rsid w:val="4C090CE4"/>
    <w:rsid w:val="4D311BB8"/>
    <w:rsid w:val="4DFE1EAA"/>
    <w:rsid w:val="4E100A45"/>
    <w:rsid w:val="4E2F31D3"/>
    <w:rsid w:val="4E5D7408"/>
    <w:rsid w:val="4FA10C02"/>
    <w:rsid w:val="506A0E70"/>
    <w:rsid w:val="50BD2F82"/>
    <w:rsid w:val="52BE6A1F"/>
    <w:rsid w:val="5335215C"/>
    <w:rsid w:val="537D0E07"/>
    <w:rsid w:val="53D83067"/>
    <w:rsid w:val="541F05E1"/>
    <w:rsid w:val="54356C05"/>
    <w:rsid w:val="546B13FD"/>
    <w:rsid w:val="5696622A"/>
    <w:rsid w:val="57657725"/>
    <w:rsid w:val="576D6F79"/>
    <w:rsid w:val="58B25B61"/>
    <w:rsid w:val="59CD2579"/>
    <w:rsid w:val="5A995482"/>
    <w:rsid w:val="5B0A42CC"/>
    <w:rsid w:val="5C9F231B"/>
    <w:rsid w:val="5EA55631"/>
    <w:rsid w:val="5F5B7A70"/>
    <w:rsid w:val="6050709A"/>
    <w:rsid w:val="615410F5"/>
    <w:rsid w:val="61935287"/>
    <w:rsid w:val="61D6069F"/>
    <w:rsid w:val="63A5054B"/>
    <w:rsid w:val="63D36646"/>
    <w:rsid w:val="63F666C4"/>
    <w:rsid w:val="65B42CFB"/>
    <w:rsid w:val="65E90142"/>
    <w:rsid w:val="66E55E08"/>
    <w:rsid w:val="69022E1C"/>
    <w:rsid w:val="6904621B"/>
    <w:rsid w:val="6A223F6B"/>
    <w:rsid w:val="6C2C212A"/>
    <w:rsid w:val="6C782614"/>
    <w:rsid w:val="6CBA0C9E"/>
    <w:rsid w:val="6D2A165E"/>
    <w:rsid w:val="6D3A4061"/>
    <w:rsid w:val="6D6963AA"/>
    <w:rsid w:val="70584020"/>
    <w:rsid w:val="7271123C"/>
    <w:rsid w:val="749F1CA2"/>
    <w:rsid w:val="75A37E1A"/>
    <w:rsid w:val="76887E54"/>
    <w:rsid w:val="772C18C7"/>
    <w:rsid w:val="77B93B2E"/>
    <w:rsid w:val="78131F39"/>
    <w:rsid w:val="78284DBA"/>
    <w:rsid w:val="7A33428B"/>
    <w:rsid w:val="7A813499"/>
    <w:rsid w:val="7A853A40"/>
    <w:rsid w:val="7AB80913"/>
    <w:rsid w:val="7B531ABC"/>
    <w:rsid w:val="7B5E1244"/>
    <w:rsid w:val="7B8375D8"/>
    <w:rsid w:val="7F00384D"/>
    <w:rsid w:val="7F4F1950"/>
    <w:rsid w:val="7F4F2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6">
    <w:name w:val="Revision"/>
    <w:hidden/>
    <w:unhideWhenUsed/>
    <w:uiPriority w:val="99"/>
    <w:rPr>
      <w:rFonts w:ascii="Times New Roman" w:hAnsi="Times New Roman" w:eastAsia="宋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cd7869d1-53d9-4e60-be42-f40bfae33fbc</errorID>
      <errorWord>实际，特制订本</errorWord>
      <group>L1_Word</group>
      <groupName>字词问题</groupName>
      <ability>L2_Typo</ability>
      <abilityName>字词错误</abilityName>
      <candidateList>
        <item>实际，特制定本</item>
      </candidateList>
      <explain/>
      <paraID>184711E6</paraID>
      <start>304</start>
      <end>311</end>
      <status>unmodified</status>
      <modifiedWord/>
      <trackRevisions>false</trackRevisions>
    </reviewItem>
    <reviewItem>
      <errorID>4fb6e54d-e2d8-47c5-95f6-b6b825981822</errorID>
      <errorWord>（</errorWord>
      <group>L1_Punc</group>
      <groupName>标点问题</groupName>
      <ability>L2_Punc</ability>
      <abilityName>标点符号检查</abilityName>
      <candidateList/>
      <explain>同一形式括号套用。</explain>
      <paraID>63933EB2</paraID>
      <start>71</start>
      <end>72</end>
      <status>unmodified</status>
      <modifiedWord/>
      <trackRevisions>false</trackRevisions>
    </reviewItem>
    <reviewItem>
      <errorID>9419f19e-bf9f-410f-a869-29b0ed421cf8</errorID>
      <errorWord>）</errorWord>
      <group>L1_Punc</group>
      <groupName>标点问题</groupName>
      <ability>L2_Punc</ability>
      <abilityName>标点符号检查</abilityName>
      <candidateList/>
      <explain>同一形式括号套用。</explain>
      <paraID>63933EB2</paraID>
      <start>73</start>
      <end>74</end>
      <status>unmodified</status>
      <modifiedWord/>
      <trackRevisions>false</trackRevisions>
    </reviewItem>
    <reviewItem>
      <errorID>35ac1fde-8d2b-4405-8423-6d91890d5951</errorID>
      <errorWord>）等单位</errorWord>
      <group>L1_AI</group>
      <groupName>深度校对</groupName>
      <ability>L2_AI_Grammar</ability>
      <abilityName>语法纠错</abilityName>
      <candidateList>
        <item>）</item>
      </candidateList>
      <explain/>
      <paraID>63933EB2</paraID>
      <start>74</start>
      <end>78</end>
      <status>unmodified</status>
      <modifiedWord/>
      <trackRevisions>false</trackRevisions>
    </reviewItem>
    <reviewItem>
      <errorID>d76cf8f5-a3c1-4f05-bc97-aa8d3094aa3d</errorID>
      <errorWord>项目科研项目</errorWord>
      <group>L1_AI</group>
      <groupName>深度校对</groupName>
      <ability>L2_AI_Grammar</ability>
      <abilityName>语法纠错</abilityName>
      <candidateList>
        <item>项目</item>
      </candidateList>
      <explain/>
      <paraID>71242C45</paraID>
      <start>12</start>
      <end>18</end>
      <status>unmodified</status>
      <modifiedWord/>
      <trackRevisions>false</trackRevisions>
    </reviewItem>
    <reviewItem>
      <errorID>001a2300-3340-4134-88e7-060d869de535</errorID>
      <errorWord>进行</errorWord>
      <group>L1_AI</group>
      <groupName>深度校对</groupName>
      <ability>L2_AI_Grammar</ability>
      <abilityName>语法纠错</abilityName>
      <candidateList>
        <item>情况情况进行</item>
      </candidateList>
      <explain/>
      <paraID>5503820F</paraID>
      <start>16</start>
      <end>18</end>
      <status>unmodified</status>
      <modifiedWord/>
      <trackRevisions>false</trackRevisions>
    </reviewItem>
    <reviewItem>
      <errorID>124d148c-abf6-42d8-8c30-473481610bd8</errorID>
      <errorWord>部门协助</errorWord>
      <group>L1_AI</group>
      <groupName>深度校对</groupName>
      <ability>L2_AI_Grammar</ability>
      <abilityName>语法纠错</abilityName>
      <candidateList>
        <item>部门</item>
      </candidateList>
      <explain/>
      <paraID>392610BA</paraID>
      <start>7</start>
      <end>11</end>
      <status>unmodified</status>
      <modifiedWord/>
      <trackRevisions>false</trackRevisions>
    </reviewItem>
    <reviewItem>
      <errorID>cb77f4d2-64ed-4c51-bf63-87c460da7ad7</errorID>
      <errorWord>审计</errorWord>
      <group>L1_AI</group>
      <groupName>深度校对</groupName>
      <ability>L2_AI_Grammar</ability>
      <abilityName>语法纠错</abilityName>
      <candidateList>
        <item>审计工作</item>
      </candidateList>
      <explain/>
      <paraID>392610BA</paraID>
      <start>71</start>
      <end>73</end>
      <status>unmodified</status>
      <modifiedWord/>
      <trackRevisions>false</trackRevisions>
    </reviewItem>
    <reviewItem>
      <errorID>d84e1e86-acd6-4145-9723-e9cc4b1ac25d</errorID>
      <errorWord>《福建中医药大学科研项目研究经费转拨合同》（以下简称经费转拨合同）</errorWord>
      <group>L1_Knowledge</group>
      <groupName>知识性问题</groupName>
      <ability>L2_Knowledge</ability>
      <abilityName>其他知识</abilityName>
      <candidateList>
        <item>《福建中医药大学科研项目研究经费转拨合同》（以下简称“经费转拨合同”）</item>
      </candidateList>
      <explain>疑似政策文件、法律法规名称等书写不规范，请注意检查。</explain>
      <paraID>1DAD2C7B</paraID>
      <start>82</start>
      <end>115</end>
      <status>unmodified</status>
      <modifiedWord/>
      <trackRevisions>false</trackRevisions>
    </reviewItem>
    <reviewItem>
      <errorID>34281460-1994-4ef9-b88b-0ce31cfc0639</errorID>
      <errorWord>〔2023〕012号</errorWord>
      <group>L1_Knowledge</group>
      <groupName>知识性问题</groupName>
      <ability>L2_Knowledge</ability>
      <abilityName>其他知识</abilityName>
      <candidateList>
        <item>〔2023〕12号</item>
      </candidateList>
      <explain>发文字号格式错误。</explain>
      <paraID>12BC1EAE</paraID>
      <start>54</start>
      <end>64</end>
      <status>unmodified</status>
      <modifiedWord/>
      <trackRevisions>false</trackRevisions>
    </reviewItem>
    <reviewItem>
      <errorID>207b4477-faff-499b-ad97-c3674e54261b</errorID>
      <errorWord>二份</errorWord>
      <group>L1_Word</group>
      <groupName>字词问题</groupName>
      <ability>L2_Typo</ability>
      <abilityName>字词错误</abilityName>
      <candidateList>
        <item>两份</item>
      </candidateList>
      <explain/>
      <paraID> 195D181</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02209CB2-D007-4EA8-A706-E42646335B26}">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4137</Words>
  <Characters>4166</Characters>
  <Lines>413</Lines>
  <Paragraphs>299</Paragraphs>
  <TotalTime>1</TotalTime>
  <ScaleCrop>false</ScaleCrop>
  <LinksUpToDate>false</LinksUpToDate>
  <CharactersWithSpaces>4189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2026-10-20T03:46:00Z</dcterms:created>
  <dc:creator>Administrator</dc:creator>
  <cp:lastModifiedBy>HBin</cp:lastModifiedBy>
  <dcterms:modified xsi:type="dcterms:W3CDTF">2026-10-20T05:20:54Z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4984DBE865C840A7ABB9DD14E67B7B9F_11</vt:lpwstr>
  </property>
  <property fmtid="{D5CDD505-2E9C-101B-9397-08002B2CF9AE}" pid="4" name="KSOTemplateDocerSaveRecord">
    <vt:lpwstr>eyJoZGlkIjoiZGM3ZjQ3YjExYmExOTIxNjUzZjFlYzVjNTFhNzhhOWEiLCJ1c2VySWQiOiIyMDA4MzQyMzAifQ==</vt:lpwstr>
  </property>
</Properties>
</file>