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CE742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AI 医疗器械临床应用合规清单</w:t>
      </w:r>
    </w:p>
    <w:p w14:paraId="18FEEFD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适用场景：AI 辅助诊断、手术机器人、智能监测类医疗器械临床立项、试验开展与注册申报。</w:t>
      </w:r>
    </w:p>
    <w:tbl>
      <w:tblPr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40"/>
        <w:gridCol w:w="3325"/>
        <w:gridCol w:w="3473"/>
        <w:gridCol w:w="4480"/>
      </w:tblGrid>
      <w:tr w14:paraId="1E5B4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40" w:type="dxa"/>
            <w:tcBorders>
              <w:tl2br w:val="nil"/>
            </w:tcBorders>
            <w:shd w:val="clear" w:color="auto" w:fill="FFFFFF"/>
            <w:vAlign w:val="center"/>
          </w:tcPr>
          <w:p w14:paraId="11AD2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合规维度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611F5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核心要求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45912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依据文件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203C0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检查要点</w:t>
            </w:r>
          </w:p>
        </w:tc>
      </w:tr>
      <w:tr w14:paraId="15586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0" w:type="dxa"/>
            <w:shd w:val="clear" w:color="auto" w:fill="FFFFFF"/>
            <w:vAlign w:val="center"/>
          </w:tcPr>
          <w:p w14:paraId="19EDE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注册分类判定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47794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按风险等级划分，三类为高风险（如植入 / 生命支持类 AI 器械），二类为中风险（如 AI 心电分析设备）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06A4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《医疗器械分类规则》《AI 医疗器械注册审查指导原则》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0BA5B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明确 AI 算法功能（诊断 / 辅助决策 / 治疗）</w:t>
            </w:r>
          </w:p>
          <w:p w14:paraId="7BF24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判定是否涉及侵入性操作、生命支持、关键诊断</w:t>
            </w:r>
          </w:p>
          <w:p w14:paraId="6B124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提交分类界定申请与论证报告</w:t>
            </w:r>
          </w:p>
        </w:tc>
      </w:tr>
      <w:tr w14:paraId="26D7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0" w:type="dxa"/>
            <w:shd w:val="clear" w:color="auto" w:fill="FFFFFF"/>
            <w:vAlign w:val="center"/>
          </w:tcPr>
          <w:p w14:paraId="760D2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临床试验伦理审查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5C0C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伦理委员会独立审查，含跨学科委员与社会人士</w:t>
            </w:r>
          </w:p>
          <w:p w14:paraId="2CF9A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受试者知情同意需明确 AI 算法局限性</w:t>
            </w:r>
          </w:p>
          <w:p w14:paraId="6D7AE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不得收取试验相关费用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3036B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《医疗器械临床试验质量管理规范（2022 版）》《涉及人的生命科学和医学研究伦理审查办法（2023 版）》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59228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伦理审查申请表、试验方案、知情同意书完整</w:t>
            </w:r>
          </w:p>
          <w:p w14:paraId="67C0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知情同意书注明AI 诊断仅供参考，最终由医师决策</w:t>
            </w:r>
          </w:p>
          <w:p w14:paraId="27F99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制定不良事件（AE）救治与赔偿方案</w:t>
            </w:r>
          </w:p>
          <w:p w14:paraId="5961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4. 跟踪审查频率≥每 6 个月 1 次</w:t>
            </w:r>
          </w:p>
        </w:tc>
      </w:tr>
      <w:tr w14:paraId="6C9B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0" w:type="dxa"/>
            <w:shd w:val="clear" w:color="auto" w:fill="FFFFFF"/>
            <w:vAlign w:val="center"/>
          </w:tcPr>
          <w:p w14:paraId="54978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数据隐私与安全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62F8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受试者数据匿名化 / 去标识化处理</w:t>
            </w:r>
          </w:p>
          <w:p w14:paraId="6241E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数据采集、存储、传输符合《个人信息保护法》</w:t>
            </w:r>
          </w:p>
          <w:p w14:paraId="488CC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涉及人类遗传资源需备案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0933C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《个人信息保护法》《中华人民共和国人类遗传资源管理条例》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3F40E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数据脱敏记录完整，无可识别个人信息</w:t>
            </w:r>
          </w:p>
          <w:p w14:paraId="26DA5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数据系统具备访问权限控制与加密功能</w:t>
            </w:r>
          </w:p>
          <w:p w14:paraId="6D5AF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遗传资源采集 / 利用需提交科技部备案批件</w:t>
            </w:r>
          </w:p>
        </w:tc>
      </w:tr>
      <w:tr w14:paraId="0100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0" w:type="dxa"/>
            <w:shd w:val="clear" w:color="auto" w:fill="FFFFFF"/>
            <w:vAlign w:val="center"/>
          </w:tcPr>
          <w:p w14:paraId="1B90C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4. 算法性能与稳定性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28E7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训练数据需多中心、多样化，覆盖不同人群 / 场景</w:t>
            </w:r>
          </w:p>
          <w:p w14:paraId="180E6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开展算法鲁棒性测试（如噪声、数据缺失场景）</w:t>
            </w:r>
          </w:p>
          <w:p w14:paraId="78F53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提交算法性能验证报告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0F574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《深度学习辅助决策医疗器械软件审评要点》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01C72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训练 / 验证 / 测试数据集划分合理（如 7:1:2）</w:t>
            </w:r>
          </w:p>
          <w:p w14:paraId="65F2E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算法灵敏度、特异度等指标不低于临床专家水平</w:t>
            </w:r>
          </w:p>
          <w:p w14:paraId="52513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提供算法迭代更新风险控制计划</w:t>
            </w:r>
          </w:p>
        </w:tc>
      </w:tr>
      <w:tr w14:paraId="2471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0" w:type="dxa"/>
            <w:shd w:val="clear" w:color="auto" w:fill="FFFFFF"/>
            <w:vAlign w:val="center"/>
          </w:tcPr>
          <w:p w14:paraId="40DFF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5. 利益冲突管理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5BF82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研究者、伦理委员需申报与申办者的利益关联</w:t>
            </w:r>
          </w:p>
          <w:p w14:paraId="7CD55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禁止诱导性招募受试者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035A5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《医疗器械临床试验质量管理规范（2022 版）》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508B0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利益冲突申报书签字完整</w:t>
            </w:r>
          </w:p>
          <w:p w14:paraId="5F014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受试者招募广告无夸大疗效表述</w:t>
            </w:r>
          </w:p>
          <w:p w14:paraId="03C1D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伦理委员中无申办者相关人员</w:t>
            </w:r>
          </w:p>
        </w:tc>
      </w:tr>
      <w:tr w14:paraId="66343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40" w:type="dxa"/>
            <w:shd w:val="clear" w:color="auto" w:fill="FFFFFF"/>
            <w:vAlign w:val="center"/>
          </w:tcPr>
          <w:p w14:paraId="5E66B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6. 不良事件（AE）上报</w:t>
            </w:r>
          </w:p>
        </w:tc>
        <w:tc>
          <w:tcPr>
            <w:tcW w:w="3325" w:type="dxa"/>
            <w:shd w:val="clear" w:color="auto" w:fill="FFFFFF"/>
            <w:vAlign w:val="center"/>
          </w:tcPr>
          <w:p w14:paraId="6E300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严重不良事件（SAE）需 24 小时内上报伦理委员会与药监局</w:t>
            </w:r>
          </w:p>
          <w:p w14:paraId="634A2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建立 AE 追踪与处置机制</w:t>
            </w:r>
          </w:p>
        </w:tc>
        <w:tc>
          <w:tcPr>
            <w:tcW w:w="3473" w:type="dxa"/>
            <w:shd w:val="clear" w:color="auto" w:fill="FFFFFF"/>
            <w:vAlign w:val="center"/>
          </w:tcPr>
          <w:p w14:paraId="05BA9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《医疗器械监督管理条例（2021 修订）》</w:t>
            </w:r>
          </w:p>
        </w:tc>
        <w:tc>
          <w:tcPr>
            <w:tcW w:w="4480" w:type="dxa"/>
            <w:shd w:val="clear" w:color="auto" w:fill="FFFFFF"/>
            <w:vAlign w:val="center"/>
          </w:tcPr>
          <w:p w14:paraId="585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1. SAE 上报记录、原因分析与整改措施完整</w:t>
            </w:r>
          </w:p>
          <w:p w14:paraId="67E26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2. 试验用器械缺陷需及时召回并记录</w:t>
            </w:r>
          </w:p>
          <w:p w14:paraId="26EBB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210" w:leftChars="100" w:right="210" w:rightChars="100" w:firstLine="0"/>
              <w:jc w:val="left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3. 向受试者提供免费救治与合理补偿</w:t>
            </w:r>
          </w:p>
        </w:tc>
      </w:tr>
    </w:tbl>
    <w:p w14:paraId="434699C1">
      <w:pPr>
        <w:tabs>
          <w:tab w:val="left" w:pos="3675"/>
        </w:tabs>
        <w:bidi w:val="0"/>
        <w:jc w:val="left"/>
        <w:rPr>
          <w:rFonts w:hint="eastAsia"/>
          <w:lang w:val="en-US" w:eastAsia="zh-CN"/>
        </w:rPr>
      </w:pPr>
    </w:p>
    <w:p w14:paraId="1A92E900">
      <w:pPr>
        <w:tabs>
          <w:tab w:val="left" w:pos="3675"/>
        </w:tabs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附加合规提醒</w:t>
      </w:r>
    </w:p>
    <w:p w14:paraId="2824AE2C">
      <w:pPr>
        <w:numPr>
          <w:ilvl w:val="0"/>
          <w:numId w:val="1"/>
        </w:numPr>
        <w:tabs>
          <w:tab w:val="left" w:pos="3675"/>
        </w:tabs>
        <w:bidi w:val="0"/>
        <w:ind w:left="425" w:leftChars="0" w:hanging="425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国际多中心临床试验需同时符合《赫尔辛基宣言》与 ISO 14155:2020 要求。</w:t>
      </w:r>
    </w:p>
    <w:p w14:paraId="0B52CABB">
      <w:pPr>
        <w:numPr>
          <w:ilvl w:val="0"/>
          <w:numId w:val="1"/>
        </w:numPr>
        <w:tabs>
          <w:tab w:val="left" w:pos="3675"/>
        </w:tabs>
        <w:bidi w:val="0"/>
        <w:ind w:left="425" w:leftChars="0" w:hanging="425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AI 算法若涉及自主决策功能（如手术机器人自动规划路径），需强化风险 - 受益分析与临床试验验证。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0F9A37"/>
    <w:multiLevelType w:val="singleLevel"/>
    <w:tmpl w:val="AC0F9A3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03540"/>
    <w:rsid w:val="1380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2025-12-30T07:45:00Z</dcterms:created>
  <dc:creator>冯芷莹</dc:creator>
  <cp:lastModifiedBy>冯芷莹</cp:lastModifiedBy>
  <dcterms:modified xsi:type="dcterms:W3CDTF">2025-12-30T08:03:27Z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63F21A0747F3474087180B075EA1A2BF_11</vt:lpwstr>
  </property>
  <property fmtid="{D5CDD505-2E9C-101B-9397-08002B2CF9AE}" pid="4" name="KSOTemplateDocerSaveRecord">
    <vt:lpwstr>eyJoZGlkIjoiNmRmMTRjNTAyNGQ1OWQ0M2Q2YTUyNDEwNTI4OThlYzgiLCJ1c2VySWQiOiIxNjAxNzg2NTI1In0=</vt:lpwstr>
  </property>
</Properties>
</file>